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87B2" w14:textId="790FE889" w:rsidR="009461B4" w:rsidRDefault="009461B4" w:rsidP="009461B4">
      <w:pPr>
        <w:pStyle w:val="Kop3"/>
      </w:pPr>
      <w:commentRangeStart w:id="1607"/>
      <w:commentRangeStart w:id="1608"/>
      <w:commentRangeStart w:id="1609"/>
      <w:r>
        <w:t xml:space="preserve">Procedure Natura 2000-besluiten </w:t>
      </w:r>
      <w:commentRangeEnd w:id="1607"/>
      <w:r w:rsidR="000E6DC5">
        <w:rPr>
          <w:rStyle w:val="Verwijzingopmerking"/>
          <w:b w:val="0"/>
          <w:bCs w:val="0"/>
        </w:rPr>
        <w:commentReference w:id="1607"/>
      </w:r>
      <w:commentRangeEnd w:id="1608"/>
      <w:r w:rsidR="00961D15">
        <w:rPr>
          <w:rStyle w:val="Verwijzingopmerking"/>
          <w:b w:val="0"/>
          <w:bCs w:val="0"/>
        </w:rPr>
        <w:commentReference w:id="1608"/>
      </w:r>
      <w:commentRangeEnd w:id="1609"/>
      <w:r w:rsidR="00743883">
        <w:rPr>
          <w:rStyle w:val="Verwijzingopmerking"/>
          <w:b w:val="0"/>
          <w:bCs w:val="0"/>
        </w:rPr>
        <w:commentReference w:id="1609"/>
      </w:r>
      <w:r>
        <w:t>en aan te leveren producten en gegevens</w:t>
      </w:r>
    </w:p>
    <w:p w14:paraId="29A9A6C9" w14:textId="6A59947B" w:rsidR="009461B4" w:rsidRDefault="009461B4" w:rsidP="009461B4">
      <w:r w:rsidRPr="005A6688">
        <w:t xml:space="preserve">In deze paragraaf wordt de procedure beschreven die </w:t>
      </w:r>
      <w:r w:rsidRPr="00271D44">
        <w:t xml:space="preserve">een </w:t>
      </w:r>
      <w:r w:rsidR="00FB720F">
        <w:t>aanwijzingsbesluit respectievelijk een toegangsbeperkingsbesluit doorloopt</w:t>
      </w:r>
      <w:r w:rsidRPr="005A6688">
        <w:t xml:space="preserve">. Van iedere stap in die procedure wordt aangegeven </w:t>
      </w:r>
      <w:r w:rsidRPr="00C2011C">
        <w:t xml:space="preserve">of deze door de STOP/TPOD-standaard en de DSO-keten wordt ondersteund en zo ja, </w:t>
      </w:r>
      <w:r w:rsidRPr="005A6688">
        <w:t>welke producten en welke gegevens en metadata moeten worden aangeleverd.</w:t>
      </w:r>
      <w:r w:rsidR="00291B71">
        <w:t xml:space="preserve"> Daar waar </w:t>
      </w:r>
      <w:r w:rsidR="009F6254">
        <w:t xml:space="preserve">een </w:t>
      </w:r>
      <w:r w:rsidR="00291B71">
        <w:t>procedure</w:t>
      </w:r>
      <w:r w:rsidR="009F6254">
        <w:t>-stap of onderdeel daarvan</w:t>
      </w:r>
      <w:r w:rsidR="00291B71">
        <w:t xml:space="preserve"> voor </w:t>
      </w:r>
      <w:r w:rsidR="00291B71" w:rsidRPr="00291B71">
        <w:t xml:space="preserve">aanwijzingsbesluit </w:t>
      </w:r>
      <w:r w:rsidR="00291B71">
        <w:t>en</w:t>
      </w:r>
      <w:r w:rsidR="00291B71" w:rsidRPr="00291B71">
        <w:t xml:space="preserve"> toegangsbeperkingsbesluit</w:t>
      </w:r>
      <w:r w:rsidR="00291B71">
        <w:t xml:space="preserve"> gelijk is</w:t>
      </w:r>
      <w:r w:rsidR="00F34DB6">
        <w:t xml:space="preserve">, wordt dat aangegeven door de term Natura 2000-besluit te gebruiken. Als </w:t>
      </w:r>
      <w:r w:rsidR="00740652" w:rsidRPr="00740652">
        <w:t xml:space="preserve">een procedure-stap of onderdeel daarvan </w:t>
      </w:r>
      <w:r w:rsidR="00F34DB6">
        <w:t>wezenlijk verschillend is,</w:t>
      </w:r>
      <w:r w:rsidR="009251AA">
        <w:t xml:space="preserve"> </w:t>
      </w:r>
      <w:r w:rsidR="00667083">
        <w:t xml:space="preserve">wordt </w:t>
      </w:r>
      <w:r w:rsidR="00444925">
        <w:t xml:space="preserve">duidelijk </w:t>
      </w:r>
      <w:r w:rsidR="00667083">
        <w:t xml:space="preserve">vermeld </w:t>
      </w:r>
      <w:r w:rsidR="00444925">
        <w:t xml:space="preserve">op welk van de twee typen de </w:t>
      </w:r>
      <w:r w:rsidR="005B5892">
        <w:t>beschrijving betrekking heeft</w:t>
      </w:r>
      <w:r w:rsidR="008D3A7F">
        <w:t>.</w:t>
      </w:r>
    </w:p>
    <w:p w14:paraId="7FE1AAC0" w14:textId="039F68D1" w:rsidR="00C235A5" w:rsidRDefault="009F2D14" w:rsidP="009461B4">
      <w:r>
        <w:fldChar w:fldCharType="begin"/>
      </w:r>
      <w:r>
        <w:instrText xml:space="preserve"> REF _Ref_c69a0c2ba011b3cfdb63276887a4ee81_1 \r \h </w:instrText>
      </w:r>
      <w:r>
        <w:fldChar w:fldCharType="separate"/>
      </w:r>
      <w:r w:rsidR="00C235A5">
        <w:t>Figuur 177</w:t>
      </w:r>
      <w:r>
        <w:fldChar w:fldCharType="end"/>
      </w:r>
      <w:r w:rsidR="009461B4">
        <w:t xml:space="preserve"> geeft een overzicht van de verschillende fasen in de procedure van het </w:t>
      </w:r>
      <w:r w:rsidR="00435AC2">
        <w:t>Natura 2000-besluit</w:t>
      </w:r>
      <w:r w:rsidR="009461B4">
        <w:t>.</w:t>
      </w:r>
    </w:p>
    <w:p w14:paraId="4225D4C8" w14:textId="0F6091C5" w:rsidR="009461B4" w:rsidRDefault="005A2718" w:rsidP="009461B4">
      <w:pPr>
        <w:pStyle w:val="Figuur"/>
      </w:pPr>
      <w:r>
        <w:rPr>
          <w:noProof/>
        </w:rPr>
        <w:drawing>
          <wp:inline distT="0" distB="0" distL="0" distR="0" wp14:anchorId="2470D221" wp14:editId="32BB1EEE">
            <wp:extent cx="4800600" cy="1349181"/>
            <wp:effectExtent l="0" t="0" r="0" b="3810"/>
            <wp:docPr id="1795318582" name="Afbeelding 1795318582"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8582" name="Afbeelding 1" descr="Afbeelding met tekst, schermopname, Lettertype, Elektrisch blauw&#10;&#10;Automatisch gegenereerde beschrijving"/>
                    <pic:cNvPicPr/>
                  </pic:nvPicPr>
                  <pic:blipFill>
                    <a:blip r:embed="rId176"/>
                    <a:stretch>
                      <a:fillRect/>
                    </a:stretch>
                  </pic:blipFill>
                  <pic:spPr>
                    <a:xfrm>
                      <a:off x="0" y="0"/>
                      <a:ext cx="4827427" cy="1356720"/>
                    </a:xfrm>
                    <a:prstGeom prst="rect">
                      <a:avLst/>
                    </a:prstGeom>
                  </pic:spPr>
                </pic:pic>
              </a:graphicData>
            </a:graphic>
          </wp:inline>
        </w:drawing>
      </w:r>
    </w:p>
    <w:p w14:paraId="4060CCAE" w14:textId="77777777" w:rsidR="009461B4" w:rsidRPr="004556D5" w:rsidRDefault="009461B4" w:rsidP="009461B4">
      <w:pPr>
        <w:pStyle w:val="Figuurbijschrift"/>
      </w:pPr>
      <w:r w:rsidRPr="00AA08CF">
        <w:tab/>
      </w:r>
      <w:bookmarkStart w:id="1610" w:name="_Ref_c69a0c2ba011b3cfdb63276887a4ee81_1"/>
      <w:r w:rsidRPr="00AA08CF">
        <w:t>Globaal overzicht van de procedure en de per fase aan de LVBB aan te leveren producten</w:t>
      </w:r>
      <w:bookmarkEnd w:id="161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6" Type="http://schemas.openxmlformats.org/officeDocument/2006/relationships/image" Target="media/image_5d9f218cea285fa84ff5cd12fc874d7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