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89E9" w14:textId="77777777" w:rsidR="009461B4" w:rsidRPr="001C2C3F" w:rsidRDefault="009461B4" w:rsidP="009461B4">
      <w:pPr>
        <w:pStyle w:val="Kop5"/>
      </w:pPr>
      <w:r>
        <w:t>Inleiding</w:t>
      </w:r>
    </w:p>
    <w:p w14:paraId="4E449985" w14:textId="77777777" w:rsidR="009461B4" w:rsidRDefault="009461B4" w:rsidP="009461B4">
      <w:pPr>
        <w:pStyle w:val="Figuur"/>
      </w:pPr>
      <w:r>
        <w:rPr>
          <w:noProof/>
        </w:rPr>
        <w:drawing>
          <wp:inline distT="0" distB="0" distL="0" distR="0" wp14:anchorId="7A5D1599" wp14:editId="42645B15">
            <wp:extent cx="4810125" cy="642557"/>
            <wp:effectExtent l="0" t="0" r="0" b="5715"/>
            <wp:docPr id="109819189" name="Afbeelding 109819189"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4497" name="Afbeelding 2" descr="Afbeelding met tekst, schermopname, Lettertype, Elektrisch blauw&#10;&#10;Automatisch gegenereerde beschrijving"/>
                    <pic:cNvPicPr/>
                  </pic:nvPicPr>
                  <pic:blipFill>
                    <a:blip r:embed="rId151"/>
                    <a:stretch>
                      <a:fillRect/>
                    </a:stretch>
                  </pic:blipFill>
                  <pic:spPr>
                    <a:xfrm>
                      <a:off x="0" y="0"/>
                      <a:ext cx="4849993" cy="647883"/>
                    </a:xfrm>
                    <a:prstGeom prst="rect">
                      <a:avLst/>
                    </a:prstGeom>
                  </pic:spPr>
                </pic:pic>
              </a:graphicData>
            </a:graphic>
          </wp:inline>
        </w:drawing>
      </w:r>
    </w:p>
    <w:p w14:paraId="38C2501E" w14:textId="7A85609C" w:rsidR="009461B4" w:rsidRPr="004556D5" w:rsidRDefault="009461B4" w:rsidP="009461B4">
      <w:pPr>
        <w:pStyle w:val="Figuurbijschrift"/>
      </w:pPr>
      <w:r w:rsidRPr="00AA08CF">
        <w:tab/>
        <w:t xml:space="preserve">Voorbereidingsfase in de procedure van de </w:t>
      </w:r>
      <w:r w:rsidR="00435AC2">
        <w:t>Natura 2000-besluit</w:t>
      </w:r>
    </w:p>
    <w:p w14:paraId="1724914C" w14:textId="0A863501" w:rsidR="000C5572" w:rsidRDefault="00F87EA6" w:rsidP="000C5572">
      <w:r w:rsidRPr="00F87EA6">
        <w:t>De verantwoordelijke minister moet het voorstel voor</w:t>
      </w:r>
      <w:r>
        <w:t xml:space="preserve"> het </w:t>
      </w:r>
      <w:r w:rsidR="002823F9" w:rsidRPr="002823F9">
        <w:t xml:space="preserve">op grond de habitatrichtlijn </w:t>
      </w:r>
      <w:r>
        <w:t xml:space="preserve">aanwijzen </w:t>
      </w:r>
      <w:r w:rsidR="002823F9">
        <w:t xml:space="preserve">of wijzigen van </w:t>
      </w:r>
      <w:r w:rsidR="002823F9" w:rsidRPr="002823F9">
        <w:t>Natura 2000-gebieden</w:t>
      </w:r>
      <w:r w:rsidR="00626472">
        <w:t xml:space="preserve"> </w:t>
      </w:r>
      <w:r w:rsidR="00626472" w:rsidRPr="00626472">
        <w:t>aan de Europese Commissie zenden.</w:t>
      </w:r>
      <w:r w:rsidR="00A72B15">
        <w:t xml:space="preserve"> Onder bepaalde voorwaarden moet </w:t>
      </w:r>
      <w:r w:rsidR="00E356AE">
        <w:t xml:space="preserve">de minister </w:t>
      </w:r>
      <w:r w:rsidR="009A667E">
        <w:t xml:space="preserve">daaraan </w:t>
      </w:r>
      <w:r w:rsidR="00E356AE">
        <w:t xml:space="preserve">voorafgaand </w:t>
      </w:r>
      <w:r w:rsidR="00E356AE" w:rsidRPr="00E356AE">
        <w:t>het ontwerp van dat voorstel aan beide kamers der Staten-Generaal voorleggen</w:t>
      </w:r>
      <w:r w:rsidR="00B3554B">
        <w:rPr>
          <w:rStyle w:val="Voetnootmarkering"/>
        </w:rPr>
        <w:footnoteReference w:id="459"/>
      </w:r>
      <w:r w:rsidR="00E356AE" w:rsidRPr="00E356AE">
        <w:t>.</w:t>
      </w:r>
      <w:r w:rsidR="00E356AE">
        <w:t xml:space="preserve"> </w:t>
      </w:r>
      <w:r w:rsidR="000C5572">
        <w:t xml:space="preserve">De EU zet het gebied op de lijst van gebieden van communautair belang (de zogenaamde Communautaire lijst). Vanaf het moment van plaatsing op deze lijst geldt voor het gebied de bescherming van de </w:t>
      </w:r>
      <w:r w:rsidR="00E63689">
        <w:t>h</w:t>
      </w:r>
      <w:r w:rsidR="000C5572">
        <w:t xml:space="preserve">abitatrichtlijn. De minister moet nu zo spoedig mogelijk, doch uiterlijk binnen zes jaar, het </w:t>
      </w:r>
      <w:r w:rsidR="000C5572">
        <w:lastRenderedPageBreak/>
        <w:t>gebied aanwijzen als speciale beschermingszone en prioriteiten vaststellen gelet op het belang van de gebieden voor het in een gunstige staat van instandhouding behouden of herstellen van een type natuurlijke habitat (art. 4, vierde lid habitatrichtlijn).</w:t>
      </w:r>
    </w:p>
    <w:p w14:paraId="077ED7F2" w14:textId="70E6DCA9" w:rsidR="00F87EA6" w:rsidRDefault="000C5572" w:rsidP="000C5572">
      <w:r>
        <w:t>Voor de aanwijzing van gebieden op grond van de vogelrichtlijn geldt geen aanmeldingsprocedure bij de EU en geen plaatsing op de Communautaire lijst. Deze gebieden worden direct aangewezen.</w:t>
      </w:r>
    </w:p>
    <w:p w14:paraId="39CE30EB" w14:textId="77777777" w:rsidR="004139CE" w:rsidRDefault="004139CE" w:rsidP="009461B4"/>
    <w:p w14:paraId="11886FB5" w14:textId="431CDAB6" w:rsidR="009461B4" w:rsidRDefault="001F1D2B" w:rsidP="009461B4">
      <w:r>
        <w:t>Er geldt voor het Natura 2000-besluit geen verplichting tot het voeren van overleg en participatie. Het is wel gebruikelijk om dat te doen</w:t>
      </w:r>
      <w:r w:rsidR="0091211F">
        <w:t xml:space="preserve">. </w:t>
      </w:r>
      <w:r w:rsidR="009461B4" w:rsidRPr="00A32ED8">
        <w:t xml:space="preserve">In deze fase </w:t>
      </w:r>
      <w:r>
        <w:t xml:space="preserve">en in de fase van voorleggen aan de </w:t>
      </w:r>
      <w:r w:rsidRPr="001F1D2B">
        <w:t xml:space="preserve">Europese Commissie </w:t>
      </w:r>
      <w:r w:rsidR="009461B4" w:rsidRPr="00A32ED8">
        <w:t xml:space="preserve">gelden geen procedurele eisen en worden </w:t>
      </w:r>
      <w:r w:rsidR="006A722F" w:rsidRPr="006A722F">
        <w:t xml:space="preserve">er </w:t>
      </w:r>
      <w:r w:rsidR="009461B4" w:rsidRPr="00A32ED8">
        <w:t>geen vormvereisten gesteld aan gebruikte producten. Er kan voor overleg en participatie een conceptversie van het voorgenomen besluit gemaakt worden die aan de STOP/TPOD-standaard voldoet, maar dat is niet verplicht. Het raadplegen van zo</w:t>
      </w:r>
      <w:r w:rsidR="009461B4">
        <w:t>’</w:t>
      </w:r>
      <w:r w:rsidR="009461B4" w:rsidRPr="00A32ED8">
        <w:t xml:space="preserve">n conceptversie kan alleen in een eigen raadpleegomgeving van </w:t>
      </w:r>
      <w:r w:rsidR="00042219" w:rsidRPr="00042219">
        <w:t xml:space="preserve">Rijk </w:t>
      </w:r>
      <w:r w:rsidR="00042219">
        <w:t xml:space="preserve">of </w:t>
      </w:r>
      <w:r w:rsidR="009461B4" w:rsidRPr="00A32ED8">
        <w:t>provincie.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1"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