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1894" w14:textId="77777777" w:rsidR="009461B4" w:rsidRDefault="009461B4" w:rsidP="009461B4">
      <w:pPr>
        <w:pStyle w:val="Kop5"/>
      </w:pPr>
      <w:bookmarkStart w:id="1647" w:name="_Ref_10d93623b5261ae4f872071da088052e_1"/>
      <w:r>
        <w:t>Juridisch kader</w:t>
      </w:r>
      <w:bookmarkEnd w:id="1647"/>
    </w:p>
    <w:p w14:paraId="7C9ED434" w14:textId="3C634CA4" w:rsidR="00C235A5" w:rsidRDefault="009461B4" w:rsidP="009461B4">
      <w:pPr>
        <w:spacing w:before="240"/>
      </w:pPr>
      <w:r w:rsidRPr="00135012">
        <w:t xml:space="preserve">Het </w:t>
      </w:r>
      <w:r w:rsidR="00AF37AD">
        <w:t>aanwijzingsbesluit wordt vastgesteld door de minister</w:t>
      </w:r>
      <w:r w:rsidR="00AF37AD">
        <w:rPr>
          <w:rStyle w:val="Voetnootmarkering"/>
        </w:rPr>
        <w:footnoteReference w:id="474"/>
      </w:r>
      <w:r w:rsidR="00AF37AD">
        <w:t xml:space="preserve">, het toegangsbeperkingsbesluit wordt vastgesteld door </w:t>
      </w:r>
      <w:r w:rsidRPr="00135012">
        <w:t>gedeputeerde staten</w:t>
      </w:r>
      <w:r w:rsidR="00AF37AD">
        <w:rPr>
          <w:rStyle w:val="Voetnootmarkering"/>
        </w:rPr>
        <w:footnoteReference w:id="475"/>
      </w:r>
      <w:r w:rsidRPr="00135012">
        <w:t xml:space="preserve"> respectievelijk minister</w:t>
      </w:r>
      <w:r>
        <w:rPr>
          <w:rStyle w:val="Voetnootmarkering"/>
        </w:rPr>
        <w:footnoteReference w:id="476"/>
      </w:r>
      <w:r>
        <w:t>. Deze bevoegdheid kan niet ge</w:t>
      </w:r>
      <w:r w:rsidRPr="007C3B79">
        <w:t>dele</w:t>
      </w:r>
      <w:r w:rsidR="00AF37AD">
        <w:t>g</w:t>
      </w:r>
      <w:r w:rsidRPr="007C3B79">
        <w:t>e</w:t>
      </w:r>
      <w:r>
        <w:t>e</w:t>
      </w:r>
      <w:r w:rsidRPr="007C3B79">
        <w:t>r</w:t>
      </w:r>
      <w:r>
        <w:t>d</w:t>
      </w:r>
      <w:r w:rsidRPr="007C3B79">
        <w:t xml:space="preserve"> </w:t>
      </w:r>
      <w:r>
        <w:t>worden.</w:t>
      </w:r>
    </w:p>
    <w:p w14:paraId="29B15EE9" w14:textId="743FCAE5" w:rsidR="009461B4" w:rsidRDefault="00114FBF" w:rsidP="009461B4">
      <w:r>
        <w:t>O</w:t>
      </w:r>
      <w:r w:rsidRPr="00114FBF">
        <w:t>p Natura 2000-besluiten</w:t>
      </w:r>
      <w:r>
        <w:t xml:space="preserve"> zijn </w:t>
      </w:r>
      <w:r w:rsidR="002C3325">
        <w:t xml:space="preserve">de </w:t>
      </w:r>
      <w:r w:rsidR="002C3325" w:rsidRPr="002C3325">
        <w:t>afdeling</w:t>
      </w:r>
      <w:r w:rsidR="002C3325">
        <w:t>en</w:t>
      </w:r>
      <w:r w:rsidR="002C3325" w:rsidRPr="002C3325">
        <w:t xml:space="preserve"> 3.6 en 3.7 Awb</w:t>
      </w:r>
      <w:r w:rsidR="002C3325">
        <w:t xml:space="preserve"> </w:t>
      </w:r>
      <w:r w:rsidR="002C3325" w:rsidRPr="002C3325">
        <w:t>over de bekendmaking en mededeling en over de motivering van besluiten van toepassing</w:t>
      </w:r>
      <w:r w:rsidR="002C3325">
        <w:t xml:space="preserve">. </w:t>
      </w:r>
      <w:r w:rsidR="002130EA">
        <w:t xml:space="preserve">Dat houdt </w:t>
      </w:r>
      <w:r w:rsidR="000B54BC">
        <w:t xml:space="preserve">het volgende in. </w:t>
      </w:r>
      <w:r w:rsidR="00C225CF">
        <w:t xml:space="preserve">Het </w:t>
      </w:r>
      <w:r w:rsidR="00C225CF" w:rsidRPr="00C225CF">
        <w:t>Natura 2000-besluit</w:t>
      </w:r>
      <w:r w:rsidR="00C225CF">
        <w:t xml:space="preserve"> treedt pas in werking als het is bekendgemaakt</w:t>
      </w:r>
      <w:r w:rsidR="00C225CF">
        <w:rPr>
          <w:rStyle w:val="Voetnootmarkering"/>
        </w:rPr>
        <w:footnoteReference w:id="477"/>
      </w:r>
      <w:r w:rsidR="00C225CF">
        <w:t>.</w:t>
      </w:r>
      <w:r w:rsidR="00444EA3">
        <w:t xml:space="preserve"> </w:t>
      </w:r>
      <w:r w:rsidR="002630FB">
        <w:t>H</w:t>
      </w:r>
      <w:r w:rsidR="009461B4">
        <w:t xml:space="preserve">et definitieve </w:t>
      </w:r>
      <w:r w:rsidR="009461B4" w:rsidRPr="005F1842">
        <w:t>besluit</w:t>
      </w:r>
      <w:r w:rsidR="009461B4">
        <w:t xml:space="preserve"> tot vaststelling of wijziging van het </w:t>
      </w:r>
      <w:r w:rsidR="00435AC2">
        <w:t>Natura 2000-besluit</w:t>
      </w:r>
      <w:r w:rsidR="009461B4">
        <w:t xml:space="preserve"> </w:t>
      </w:r>
      <w:r w:rsidR="009461B4" w:rsidRPr="002B3195">
        <w:t xml:space="preserve">wordt </w:t>
      </w:r>
      <w:r w:rsidR="009461B4">
        <w:t xml:space="preserve">bekendgemaakt in </w:t>
      </w:r>
      <w:r w:rsidR="00333FEB">
        <w:t>Staatscourant of provinciaal blad</w:t>
      </w:r>
      <w:r w:rsidR="009461B4">
        <w:rPr>
          <w:rStyle w:val="Voetnootmarkering"/>
        </w:rPr>
        <w:footnoteReference w:id="478"/>
      </w:r>
      <w:r w:rsidR="009461B4">
        <w:t>.</w:t>
      </w:r>
      <w:r w:rsidR="009461B4" w:rsidRPr="00B135F8">
        <w:t xml:space="preserve"> </w:t>
      </w:r>
      <w:r w:rsidR="009461B4">
        <w:t xml:space="preserve">Het besluit </w:t>
      </w:r>
      <w:r w:rsidR="009461B4" w:rsidRPr="001975FA">
        <w:t>dient te berusten op een deugdelijke motivering</w:t>
      </w:r>
      <w:r w:rsidR="009461B4">
        <w:t xml:space="preserve">, die moet worden </w:t>
      </w:r>
      <w:r w:rsidR="009461B4" w:rsidRPr="00112897">
        <w:t>vermeld bij de bekendmaking van het besluit</w:t>
      </w:r>
      <w:r w:rsidR="009461B4">
        <w:rPr>
          <w:rStyle w:val="Voetnootmarkering"/>
        </w:rPr>
        <w:footnoteReference w:id="479"/>
      </w:r>
      <w:r w:rsidR="009461B4" w:rsidRPr="001975FA">
        <w:t>.</w:t>
      </w:r>
      <w:r w:rsidR="009461B4">
        <w:t xml:space="preserve"> Bij </w:t>
      </w:r>
      <w:r w:rsidR="009461B4" w:rsidRPr="008E6D40">
        <w:t xml:space="preserve">de bekendmaking van het besluit </w:t>
      </w:r>
      <w:r w:rsidR="009461B4">
        <w:t xml:space="preserve">moet </w:t>
      </w:r>
      <w:r w:rsidR="009461B4" w:rsidRPr="008E6D40">
        <w:t>melding gemaakt</w:t>
      </w:r>
      <w:r w:rsidR="009461B4">
        <w:t xml:space="preserve"> worden van het feit dat tegen het besluit </w:t>
      </w:r>
      <w:r w:rsidR="009461B4" w:rsidRPr="008E6D40">
        <w:t>beroep kan worden ingesteld.</w:t>
      </w:r>
      <w:r w:rsidR="009461B4">
        <w:t xml:space="preserve"> Daarbij moet worden </w:t>
      </w:r>
      <w:r w:rsidR="009461B4" w:rsidRPr="006B0115">
        <w:t>vermeld door wie, binnen welke termijn en bij welk orgaan beroep kan worden ingesteld</w:t>
      </w:r>
      <w:r w:rsidR="009461B4">
        <w:rPr>
          <w:rStyle w:val="Voetnootmarkering"/>
        </w:rPr>
        <w:footnoteReference w:id="480"/>
      </w:r>
      <w:r w:rsidR="009461B4" w:rsidRPr="006B0115">
        <w:t>.</w:t>
      </w:r>
      <w:r w:rsidR="009461B4">
        <w:t xml:space="preserve"> Deze bepaling houdt in dat deze zogeheten rechtsmiddelenclausule in het besluit moet worden opgenomen.</w:t>
      </w:r>
    </w:p>
    <w:p w14:paraId="3B92F391" w14:textId="77777777" w:rsidR="007F3D79" w:rsidRDefault="007F3D79" w:rsidP="007F3D79">
      <w:r w:rsidRPr="005D1B54">
        <w:t xml:space="preserve">Tegelijkertijd met of zo spoedig mogelijk na de bekendmaking </w:t>
      </w:r>
      <w:r>
        <w:t>moet Rijk of provincie</w:t>
      </w:r>
      <w:r w:rsidRPr="005D1B54">
        <w:t xml:space="preserve"> van het besluit mededeling </w:t>
      </w:r>
      <w:r>
        <w:t>doen</w:t>
      </w:r>
      <w:r w:rsidRPr="005D1B54">
        <w:t xml:space="preserve"> aan degenen die bij de voorbereiding ervan hun zienswijze naar voren hebben gebracht</w:t>
      </w:r>
      <w:r>
        <w:rPr>
          <w:rStyle w:val="Voetnootmarkering"/>
        </w:rPr>
        <w:footnoteReference w:id="481"/>
      </w:r>
      <w:r w:rsidRPr="005D1B54">
        <w:t>.</w:t>
      </w:r>
      <w:r>
        <w:t xml:space="preserve"> Aan hen moet Rijk of provincie een exemplaar van het besluit toezenden</w:t>
      </w:r>
      <w:r>
        <w:rPr>
          <w:rStyle w:val="Voetnootmarkering"/>
        </w:rPr>
        <w:footnoteReference w:id="482"/>
      </w:r>
      <w:r>
        <w:t>.</w:t>
      </w:r>
    </w:p>
    <w:p w14:paraId="6222A6B8" w14:textId="487FFACE" w:rsidR="00C235A5" w:rsidRDefault="008F48BB" w:rsidP="009461B4">
      <w:r w:rsidRPr="008F48BB">
        <w:t xml:space="preserve">Rijk of provincie </w:t>
      </w:r>
      <w:r>
        <w:t>moet d</w:t>
      </w:r>
      <w:r w:rsidR="009461B4" w:rsidRPr="00A825DB">
        <w:t>e op de zaak betrekking hebbende stukken</w:t>
      </w:r>
      <w:r w:rsidR="0057600C">
        <w:t xml:space="preserve"> </w:t>
      </w:r>
      <w:r w:rsidR="009461B4">
        <w:t>ter inzage leg</w:t>
      </w:r>
      <w:r>
        <w:t>gen</w:t>
      </w:r>
      <w:r w:rsidR="009461B4">
        <w:rPr>
          <w:rStyle w:val="Voetnootmarkering"/>
        </w:rPr>
        <w:footnoteReference w:id="483"/>
      </w:r>
      <w:r w:rsidR="009461B4">
        <w:t xml:space="preserve"> en moet </w:t>
      </w:r>
      <w:r w:rsidR="009461B4" w:rsidRPr="00C0058C">
        <w:t xml:space="preserve">gelijktijdig met de bekendmaking van het besluit </w:t>
      </w:r>
      <w:r w:rsidR="00CF27AA" w:rsidRPr="00CF27AA">
        <w:t xml:space="preserve">in Staatscourant of provinciaal blad </w:t>
      </w:r>
      <w:r w:rsidR="009461B4" w:rsidRPr="00C0058C">
        <w:t>kennis</w:t>
      </w:r>
      <w:r w:rsidR="009461B4">
        <w:t xml:space="preserve"> </w:t>
      </w:r>
      <w:r w:rsidR="009461B4" w:rsidRPr="00C0058C">
        <w:t>geven van de terinzagelegging van d</w:t>
      </w:r>
      <w:r w:rsidR="009461B4">
        <w:t>i</w:t>
      </w:r>
      <w:r w:rsidR="009461B4" w:rsidRPr="00C0058C">
        <w:t>e stukken</w:t>
      </w:r>
      <w:r w:rsidR="009461B4">
        <w:rPr>
          <w:rStyle w:val="Voetnootmarkering"/>
        </w:rPr>
        <w:footnoteReference w:id="484"/>
      </w:r>
      <w:r w:rsidR="009461B4">
        <w:t xml:space="preserve">. De terinzagelegging geschiedt zowel op elektronische wijze als op een door </w:t>
      </w:r>
      <w:r w:rsidR="00CF3057">
        <w:t>Rijk of provincie</w:t>
      </w:r>
      <w:r w:rsidR="009461B4">
        <w:t xml:space="preserve"> aan te wijzen locatie</w:t>
      </w:r>
      <w:r w:rsidR="009461B4">
        <w:rPr>
          <w:rStyle w:val="Voetnootmarkering"/>
        </w:rPr>
        <w:footnoteReference w:id="485"/>
      </w:r>
      <w:r w:rsidR="009461B4">
        <w:t xml:space="preserve">. De terinzagelegging vindt niet plaats in </w:t>
      </w:r>
      <w:r w:rsidR="00333FEB">
        <w:t>Staatscourant of provinciaal blad</w:t>
      </w:r>
      <w:r w:rsidR="009461B4">
        <w:rPr>
          <w:rStyle w:val="Voetnootmarkering"/>
        </w:rPr>
        <w:footnoteReference w:id="486"/>
      </w:r>
      <w:r w:rsidR="009461B4">
        <w:t xml:space="preserve">. Dit betekent dat </w:t>
      </w:r>
      <w:r w:rsidR="001F1D2B">
        <w:t>Rijk of provincie</w:t>
      </w:r>
      <w:r w:rsidR="009461B4">
        <w:t xml:space="preserve"> moet zorgen voor de elektronische terinzagelegging van </w:t>
      </w:r>
      <w:r w:rsidR="009461B4" w:rsidRPr="00491E78">
        <w:t>op de zaak betrekking hebbende stukken</w:t>
      </w:r>
      <w:r w:rsidR="009461B4">
        <w:t xml:space="preserve"> en voor de terinzagelegging van die stukken op een fysieke locatie. </w:t>
      </w:r>
      <w:r w:rsidR="009461B4" w:rsidRPr="000824D4">
        <w:t xml:space="preserve">Op </w:t>
      </w:r>
      <w:r w:rsidR="009461B4">
        <w:t>de zaak</w:t>
      </w:r>
      <w:r w:rsidR="009461B4" w:rsidRPr="000824D4">
        <w:t xml:space="preserve"> betrekking hebbende stukken zullen vooral bestaan uit rapportages van uitgevoerde onderzoeken.</w:t>
      </w:r>
      <w:r w:rsidR="009461B4">
        <w:t xml:space="preserve"> </w:t>
      </w:r>
      <w:r w:rsidR="009461B4" w:rsidRPr="00A82D10">
        <w:t xml:space="preserve">De terinzagelegging op een door </w:t>
      </w:r>
      <w:r w:rsidR="001F1D2B">
        <w:t>Rijk of provincie</w:t>
      </w:r>
      <w:r w:rsidR="009461B4" w:rsidRPr="00E27289">
        <w:t xml:space="preserve"> </w:t>
      </w:r>
      <w:r w:rsidR="009461B4" w:rsidRPr="00A82D10">
        <w:t xml:space="preserve">te bepalen locatie kan worden georganiseerd door op een in de kennisgeving aangegeven locatie, zoals het </w:t>
      </w:r>
      <w:r w:rsidR="000D6E1E">
        <w:t>provincie</w:t>
      </w:r>
      <w:r w:rsidR="009461B4" w:rsidRPr="00A82D10">
        <w:t xml:space="preserve">huis, de mogelijkheid te bieden om op een beeldscherm de op </w:t>
      </w:r>
      <w:r w:rsidR="009461B4">
        <w:t xml:space="preserve">de zaak </w:t>
      </w:r>
      <w:r w:rsidR="009461B4" w:rsidRPr="00A82D10">
        <w:t xml:space="preserve">betrekking hebbende stukken te raadplegen. Uiteraard is het ook mogelijk om alle stukken te </w:t>
      </w:r>
      <w:r w:rsidR="009461B4" w:rsidRPr="00A82D10">
        <w:lastRenderedPageBreak/>
        <w:t xml:space="preserve">printen en </w:t>
      </w:r>
      <w:r w:rsidR="009461B4">
        <w:t xml:space="preserve">op de fysieke locatie </w:t>
      </w:r>
      <w:r w:rsidR="009461B4" w:rsidRPr="00A82D10">
        <w:t>klaar te leggen voor inzage.</w:t>
      </w:r>
      <w:r w:rsidR="009461B4">
        <w:t xml:space="preserve"> </w:t>
      </w:r>
      <w:r w:rsidR="009461B4" w:rsidRPr="004D7A24">
        <w:t>Het besluit zelf hoeft niet ter inzage gelegd te worden, da</w:t>
      </w:r>
      <w:r w:rsidR="009461B4">
        <w:t>t</w:t>
      </w:r>
      <w:r w:rsidR="009461B4" w:rsidRPr="004D7A24">
        <w:t xml:space="preserve"> moet immers </w:t>
      </w:r>
      <w:r w:rsidR="009461B4">
        <w:t xml:space="preserve">bekendgemaakt worden </w:t>
      </w:r>
      <w:r w:rsidR="009461B4" w:rsidRPr="004D7A24">
        <w:t>in het publicatieblad</w:t>
      </w:r>
      <w:r w:rsidR="009461B4">
        <w:t xml:space="preserve">. De </w:t>
      </w:r>
      <w:r w:rsidR="009461B4" w:rsidRPr="001A08CC">
        <w:t>stukken liggen ter inzage totdat de beroepstermijn is verstreken</w:t>
      </w:r>
      <w:r w:rsidR="009461B4">
        <w:rPr>
          <w:rStyle w:val="Voetnootmarkering"/>
        </w:rPr>
        <w:footnoteReference w:id="487"/>
      </w:r>
      <w:r w:rsidR="009461B4" w:rsidRPr="00822ACB">
        <w:t>.</w:t>
      </w:r>
    </w:p>
    <w:p w14:paraId="40C263EE" w14:textId="6662D31B" w:rsidR="00DB390F" w:rsidRDefault="00DB390F" w:rsidP="009461B4"/>
    <w:p w14:paraId="3F61FCFA" w14:textId="7F0F6A81" w:rsidR="00DB390F" w:rsidRDefault="00DB390F" w:rsidP="009461B4">
      <w:r>
        <w:t xml:space="preserve">Het Natura 2000-besluit </w:t>
      </w:r>
      <w:r w:rsidRPr="00DB390F">
        <w:t>treedt in werking op de dag na de bekendmaking, tenzij in het besluit daarvoor een ander tijdstip is aangewezen.</w:t>
      </w:r>
    </w:p>
    <w:p w14:paraId="2D72C9DE" w14:textId="77777777" w:rsidR="00E752EA" w:rsidRDefault="00E752EA" w:rsidP="009461B4"/>
    <w:p w14:paraId="6BC96512" w14:textId="57CBFB00" w:rsidR="00ED5B6F" w:rsidRDefault="00793008" w:rsidP="009461B4">
      <w:r>
        <w:t>T</w:t>
      </w:r>
      <w:r w:rsidR="009461B4">
        <w:t xml:space="preserve">egen </w:t>
      </w:r>
      <w:r w:rsidR="00C83EDD">
        <w:t xml:space="preserve">een </w:t>
      </w:r>
      <w:r w:rsidR="00C83EDD" w:rsidRPr="00C83EDD">
        <w:t>Natura 2000-besluit</w:t>
      </w:r>
      <w:r>
        <w:t xml:space="preserve"> </w:t>
      </w:r>
      <w:r w:rsidRPr="00793008">
        <w:t>kan bij de rechtbank beroep</w:t>
      </w:r>
      <w:r w:rsidR="00BD51C6">
        <w:t xml:space="preserve"> worden</w:t>
      </w:r>
      <w:r w:rsidRPr="00793008">
        <w:t xml:space="preserve"> in</w:t>
      </w:r>
      <w:r w:rsidR="00BD51C6">
        <w:t>ge</w:t>
      </w:r>
      <w:r w:rsidRPr="00793008">
        <w:t>stel</w:t>
      </w:r>
      <w:r w:rsidR="00BD51C6">
        <w:t>d</w:t>
      </w:r>
      <w:r w:rsidR="009461B4">
        <w:rPr>
          <w:rStyle w:val="Voetnootmarkering"/>
        </w:rPr>
        <w:footnoteReference w:id="488"/>
      </w:r>
      <w:r w:rsidR="009461B4">
        <w:t xml:space="preserve">. </w:t>
      </w:r>
      <w:r w:rsidR="00800D85">
        <w:t>W</w:t>
      </w:r>
      <w:r w:rsidR="00800D85" w:rsidRPr="00800D85">
        <w:t>anneer afdeling 3.4 Aw</w:t>
      </w:r>
      <w:r w:rsidR="00800D85">
        <w:t>b niet is toegep</w:t>
      </w:r>
      <w:r w:rsidR="00834B96">
        <w:t xml:space="preserve">ast, moet </w:t>
      </w:r>
      <w:r w:rsidR="00B15CC6">
        <w:t>d</w:t>
      </w:r>
      <w:r w:rsidR="00834B96" w:rsidRPr="00834B96">
        <w:t>e belanghebbende voorafgaand aan het instellen van beroep eerst bezwaar maken</w:t>
      </w:r>
      <w:r w:rsidR="008C41CE">
        <w:rPr>
          <w:rStyle w:val="Voetnootmarkering"/>
        </w:rPr>
        <w:footnoteReference w:id="489"/>
      </w:r>
      <w:r w:rsidR="00B15CC6">
        <w:t xml:space="preserve">. </w:t>
      </w:r>
      <w:r w:rsidR="007170A4">
        <w:t xml:space="preserve">Dat is het geval als de minister </w:t>
      </w:r>
      <w:r w:rsidR="007170A4" w:rsidRPr="007170A4">
        <w:t xml:space="preserve">afdeling 3.4 Awb bij het aanwijzingsbesluit buiten toepassing </w:t>
      </w:r>
      <w:r w:rsidR="007170A4">
        <w:t>heeft</w:t>
      </w:r>
      <w:r w:rsidR="007170A4" w:rsidRPr="007170A4">
        <w:t xml:space="preserve"> gelaten (bij een wijziging van ondergeschikte aard die niet leidt tot grotere nadelige gevolgen voor het milieu</w:t>
      </w:r>
      <w:r w:rsidR="001F5965">
        <w:t xml:space="preserve"> en </w:t>
      </w:r>
      <w:r w:rsidR="001F5965" w:rsidRPr="001F5965">
        <w:t xml:space="preserve">voor zover </w:t>
      </w:r>
      <w:r w:rsidR="001F5965">
        <w:t xml:space="preserve">dat </w:t>
      </w:r>
      <w:r w:rsidR="001F5965" w:rsidRPr="001F5965">
        <w:t xml:space="preserve">niet in strijd </w:t>
      </w:r>
      <w:r w:rsidR="001F5965">
        <w:t xml:space="preserve">is </w:t>
      </w:r>
      <w:r w:rsidR="001F5965" w:rsidRPr="001F5965">
        <w:t>met internationaalrechtelijke verplichtingen</w:t>
      </w:r>
      <w:r w:rsidR="007170A4" w:rsidRPr="007170A4">
        <w:t>)</w:t>
      </w:r>
      <w:r w:rsidR="00506168">
        <w:rPr>
          <w:rStyle w:val="Voetnootmarkering"/>
        </w:rPr>
        <w:footnoteReference w:id="490"/>
      </w:r>
      <w:r w:rsidR="007170A4" w:rsidRPr="007170A4">
        <w:t xml:space="preserve"> </w:t>
      </w:r>
      <w:r w:rsidR="00BF2882">
        <w:t>e</w:t>
      </w:r>
      <w:r w:rsidR="007170A4" w:rsidRPr="007170A4">
        <w:t>n wanneer Rijk of provincie er niet voor heeft gekozen om het toegangsbeperkingsbesluit met afdeling 3.4 Awb voor te bereiden.</w:t>
      </w:r>
      <w:r w:rsidR="00FF7E14">
        <w:t xml:space="preserve"> Naar verwachting zullen de </w:t>
      </w:r>
      <w:r w:rsidR="001749F4">
        <w:t>meeste Natura 2000-besluiten met afdeling 3.4 Awb worden voorbereid</w:t>
      </w:r>
      <w:r w:rsidR="005B7111">
        <w:t>.</w:t>
      </w:r>
    </w:p>
    <w:p w14:paraId="6C318D6D" w14:textId="77777777" w:rsidR="00ED5B6F" w:rsidRDefault="00ED5B6F" w:rsidP="009461B4"/>
    <w:p w14:paraId="343EDA20" w14:textId="77777777" w:rsidR="009461B4" w:rsidRDefault="009461B4" w:rsidP="009461B4">
      <w:r w:rsidRPr="00DA45EA">
        <w:t>De termijn voor het indienen van een beroepschrift bedraagt zes weken</w:t>
      </w:r>
      <w:r>
        <w:rPr>
          <w:rStyle w:val="Voetnootmarkering"/>
        </w:rPr>
        <w:footnoteReference w:id="491"/>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492"/>
      </w:r>
      <w:r w:rsidRPr="00766F7C">
        <w:t>.</w:t>
      </w:r>
      <w:r>
        <w:t xml:space="preserve"> Tegen de uitspraak van de rechtbank kunnen een belanghebbende en het bestuursorgaan hoger beroep instellen bij de Afdeling bestuursrechtspraak van de Raad van State</w:t>
      </w:r>
      <w:r>
        <w:rPr>
          <w:rStyle w:val="Voetnootmarkering"/>
        </w:rPr>
        <w:footnoteReference w:id="493"/>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