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8977" w14:textId="77777777" w:rsidR="009461B4" w:rsidRPr="00E22362" w:rsidRDefault="009461B4" w:rsidP="009461B4">
      <w:pPr>
        <w:pStyle w:val="Kop5"/>
      </w:pPr>
      <w:r w:rsidRPr="00E22362">
        <w:t>Consolidatieplicht</w:t>
      </w:r>
    </w:p>
    <w:p w14:paraId="16E633E6" w14:textId="1C728B8C" w:rsidR="00C235A5" w:rsidRDefault="009461B4" w:rsidP="009461B4">
      <w:r w:rsidRPr="00C80C00">
        <w:t xml:space="preserve">Omgevingswet, Omgevingsbesluit en Bekendmakingswet stellen het niet verplicht om </w:t>
      </w:r>
      <w:r w:rsidR="005628FC">
        <w:t>Natura 2000-besluit</w:t>
      </w:r>
      <w:r w:rsidR="00B86213">
        <w:t>en</w:t>
      </w:r>
      <w:r w:rsidRPr="00C80C00">
        <w:t xml:space="preserve"> in geconsolideerde vorm beschikbaar te houden. Er geldt dus geen </w:t>
      </w:r>
      <w:r w:rsidR="00213AD6">
        <w:t xml:space="preserve">expliciete </w:t>
      </w:r>
      <w:r w:rsidRPr="00C80C00">
        <w:t xml:space="preserve">verplichting om </w:t>
      </w:r>
      <w:r>
        <w:t xml:space="preserve">eventuele latere wijzigingsbesluiten </w:t>
      </w:r>
      <w:r w:rsidRPr="00C80C00">
        <w:t xml:space="preserve">in </w:t>
      </w:r>
      <w:r>
        <w:t xml:space="preserve">de initiële regeling </w:t>
      </w:r>
      <w:r w:rsidRPr="00C80C00">
        <w:t xml:space="preserve">van </w:t>
      </w:r>
      <w:r w:rsidR="00914088">
        <w:t>het Natura 2000-besluit</w:t>
      </w:r>
      <w:r>
        <w:t xml:space="preserve"> </w:t>
      </w:r>
      <w:r w:rsidRPr="00C80C00">
        <w:t>te verwerken</w:t>
      </w:r>
      <w:r>
        <w:t xml:space="preserve">. Het is wel wenselijk en zelfs noodzakelijk om dat te doen. Dat is namelijk de enige manier om in de lokale en nationale wettenbank én in DSO-LV de volledige en actuele geconsolideerde versie van </w:t>
      </w:r>
      <w:r w:rsidR="00914088">
        <w:t>het Natura 2000-besluit</w:t>
      </w:r>
      <w:r>
        <w:t xml:space="preserve"> te kunnen 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