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A717" w14:textId="77777777" w:rsidR="00AF12B0" w:rsidRPr="00AF12B0" w:rsidRDefault="00AF12B0" w:rsidP="00AF12B0">
      <w:pPr>
        <w:pStyle w:val="Kop3"/>
      </w:pPr>
      <w:r w:rsidRPr="00AF12B0">
        <w:lastRenderedPageBreak/>
        <w:t>De modellering van de mededeling van een rechterlijke uitspraak</w:t>
      </w:r>
    </w:p>
    <w:p w14:paraId="2D414AF5" w14:textId="3D5AB37E" w:rsidR="001F3397" w:rsidRDefault="00BF5E16" w:rsidP="00AF12B0">
      <w:r w:rsidRPr="00BF5E16">
        <w:t>Als beroep is ingesteld tegen een besluit en de bestuursrechter het projectbesluit geheel of gedeeltelijk vernietigt, moet het bestuursorgaan mededeling doen van de uitspraak op de manier die voor de bekendmaking van het projectbesluit is voorgeschreven. Dat betekent dat de volledige inhoud van de uitspraak in publicatieblad van het bevoegd gezag moet worden geplaatst.</w:t>
      </w:r>
    </w:p>
    <w:p w14:paraId="55373526" w14:textId="5E58D61A" w:rsidR="00BF5E16" w:rsidRDefault="007E277A" w:rsidP="007236ED">
      <w:pPr>
        <w:pStyle w:val="Kader"/>
      </w:pPr>
      <w:r w:rsidRPr="00B26823">
        <w:rPr>
          <w:noProof/>
        </w:rPr>
        <mc:AlternateContent>
          <mc:Choice Requires="wps">
            <w:drawing>
              <wp:inline distT="0" distB="0" distL="0" distR="0" wp14:anchorId="111A902B" wp14:editId="2D445C49">
                <wp:extent cx="5400040" cy="1163222"/>
                <wp:effectExtent l="0" t="0" r="22860" b="16510"/>
                <wp:docPr id="953394650" name="Tekstvak 953394650"/>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9E4490C" w14:textId="77777777" w:rsidR="007E277A" w:rsidRPr="009A08A2" w:rsidRDefault="007E277A" w:rsidP="007E277A">
                            <w:pPr>
                              <w:rPr>
                                <w:b/>
                                <w:bCs/>
                              </w:rPr>
                            </w:pPr>
                            <w:r w:rsidRPr="009A08A2">
                              <w:rPr>
                                <w:b/>
                                <w:bCs/>
                              </w:rPr>
                              <w:t>Toekomstige functionaliteit</w:t>
                            </w:r>
                          </w:p>
                          <w:p w14:paraId="75D34CB0" w14:textId="77777777" w:rsidR="007E277A" w:rsidRDefault="007E277A" w:rsidP="007E277A">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4631FB64" w14:textId="77777777" w:rsidR="007E277A" w:rsidRPr="00C352EA" w:rsidRDefault="007E277A" w:rsidP="007E277A">
                            <w:r>
                              <w:t xml:space="preserve">Naar verwachting zal de modellering van de mededeling vergelijkbaar </w:t>
                            </w:r>
                            <w:r w:rsidRPr="00205D36">
                              <w:t xml:space="preserve">zijn </w:t>
                            </w:r>
                            <w:r>
                              <w:t>met die van de kennisgeving.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11A902B" id="Tekstvak 953394650" o:spid="_x0000_s119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dhCGFC8CAABcBAAADgAAAAAAAAAAAAAAAAAuAgAAZHJz&#10;L2Uyb0RvYy54bWxQSwECLQAUAAYACAAAACEAq+vTQNsAAAAFAQAADwAAAAAAAAAAAAAAAACJBAAA&#10;ZHJzL2Rvd25yZXYueG1sUEsFBgAAAAAEAAQA8wAAAJEFAAAAAA==&#10;" filled="f" strokeweight=".5pt">
                <v:textbox style="mso-fit-shape-to-text:t">
                  <w:txbxContent>
                    <w:p w14:paraId="69E4490C" w14:textId="77777777" w:rsidR="007E277A" w:rsidRPr="009A08A2" w:rsidRDefault="007E277A" w:rsidP="007E277A">
                      <w:pPr>
                        <w:rPr>
                          <w:b/>
                          <w:bCs/>
                        </w:rPr>
                      </w:pPr>
                      <w:r w:rsidRPr="009A08A2">
                        <w:rPr>
                          <w:b/>
                          <w:bCs/>
                        </w:rPr>
                        <w:t>Toekomstige functionaliteit</w:t>
                      </w:r>
                    </w:p>
                    <w:p w14:paraId="75D34CB0" w14:textId="77777777" w:rsidR="007E277A" w:rsidRDefault="007E277A" w:rsidP="007E277A">
                      <w:r w:rsidRPr="005F20E5">
                        <w:t xml:space="preserve">In de toekomst zal </w:t>
                      </w:r>
                      <w:r>
                        <w:t>he</w:t>
                      </w:r>
                      <w:r w:rsidRPr="005F20E5">
                        <w:t xml:space="preserve">t </w:t>
                      </w:r>
                      <w:r>
                        <w:t xml:space="preserve">doen van de mededeling </w:t>
                      </w:r>
                      <w:r w:rsidRPr="005F20E5">
                        <w:t xml:space="preserve">van de uitspraak </w:t>
                      </w:r>
                      <w:r>
                        <w:t xml:space="preserve">van de rechter </w:t>
                      </w:r>
                      <w:r w:rsidRPr="005F20E5">
                        <w:t xml:space="preserve">naar verwachting met toepassing van de STOP/TPOD-standaard </w:t>
                      </w:r>
                      <w:r>
                        <w:t xml:space="preserve">worden opgesteld </w:t>
                      </w:r>
                      <w:r w:rsidRPr="005F20E5">
                        <w:t xml:space="preserve">en aan de LVBB </w:t>
                      </w:r>
                      <w:r>
                        <w:t>worden aangeleverd voor de publicatie in het publicatieblad</w:t>
                      </w:r>
                      <w:r w:rsidRPr="005F20E5">
                        <w:t>.</w:t>
                      </w:r>
                    </w:p>
                    <w:p w14:paraId="4631FB64" w14:textId="77777777" w:rsidR="007E277A" w:rsidRPr="00C352EA" w:rsidRDefault="007E277A" w:rsidP="007E277A">
                      <w:r>
                        <w:t xml:space="preserve">Naar verwachting zal de modellering van de mededeling vergelijkbaar </w:t>
                      </w:r>
                      <w:r w:rsidRPr="00205D36">
                        <w:t xml:space="preserve">zijn </w:t>
                      </w:r>
                      <w:r>
                        <w:t>met die van de kennisgeving.</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