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66AD" w14:textId="79D0F9DA" w:rsidR="00C4642E" w:rsidRDefault="007405A3" w:rsidP="00AA6787">
      <w:pPr>
        <w:pStyle w:val="Kop3bijlage"/>
      </w:pPr>
      <w:r>
        <w:t>Alternatie</w:t>
      </w:r>
      <w:r w:rsidR="006A48E3" w:rsidRPr="006A48E3">
        <w:t>ve oplossingsmogelijkhe</w:t>
      </w:r>
      <w:r w:rsidR="006A48E3">
        <w:t>i</w:t>
      </w:r>
      <w:r w:rsidR="006A48E3" w:rsidRPr="006A48E3">
        <w:t>d</w:t>
      </w:r>
      <w:r>
        <w:t xml:space="preserve"> 1</w:t>
      </w:r>
      <w:r w:rsidR="007116F0">
        <w:t xml:space="preserve">: met toepassing van </w:t>
      </w:r>
      <w:r w:rsidR="00BC16AF">
        <w:t>Omgevingsnorm</w:t>
      </w:r>
    </w:p>
    <w:p w14:paraId="3CAC77C7" w14:textId="77777777" w:rsidR="008A4657" w:rsidRDefault="00FD0CFC" w:rsidP="0097505A">
      <w:r>
        <w:t xml:space="preserve">Bij dit alternatief wordt wel gebruik gemaakt van het objecttype Omgevingsnorm. </w:t>
      </w:r>
    </w:p>
    <w:p w14:paraId="5CE3413C" w14:textId="6C58D29C" w:rsidR="0097505A" w:rsidRDefault="008A4657" w:rsidP="0097505A">
      <w:r>
        <w:t xml:space="preserve">Lid 1 bepaalt waar in een </w:t>
      </w:r>
      <w:r w:rsidR="004B185B">
        <w:t xml:space="preserve">winkelcentrum horeca is toegestaan. Aan dit lid is een Locatie </w:t>
      </w:r>
      <w:r w:rsidR="00FD32EE">
        <w:t xml:space="preserve">(in de vorm van een Locatiegroep) </w:t>
      </w:r>
      <w:r w:rsidR="004B185B">
        <w:t>gekoppeld</w:t>
      </w:r>
      <w:r w:rsidR="00FD32EE">
        <w:t xml:space="preserve"> voor de vier winkelcentra en een Locatie </w:t>
      </w:r>
      <w:r w:rsidR="00FD32EE" w:rsidRPr="00FD32EE">
        <w:t>(in de vorm van een Locatiegroep)</w:t>
      </w:r>
      <w:r w:rsidR="008C3B04">
        <w:t xml:space="preserve"> voor alle gebieden binnen de </w:t>
      </w:r>
      <w:r w:rsidR="008C3B04" w:rsidRPr="008C3B04">
        <w:t>vier winkelcentra</w:t>
      </w:r>
      <w:r w:rsidR="008C3B04">
        <w:t xml:space="preserve"> waar horeca is toegelaten. Lid 2 bepaalt de maximum oppervlakte aan horeca per winkelcentrum. </w:t>
      </w:r>
      <w:r w:rsidR="00E95D0B">
        <w:t xml:space="preserve">Aan dit lid is </w:t>
      </w:r>
      <w:r w:rsidR="00996A9C">
        <w:t xml:space="preserve">voor ieder winkelcentrum een </w:t>
      </w:r>
      <w:r w:rsidR="00D35748">
        <w:t>Locatie</w:t>
      </w:r>
      <w:r w:rsidR="00996A9C">
        <w:t xml:space="preserve"> </w:t>
      </w:r>
      <w:r w:rsidR="000672B8" w:rsidRPr="000672B8">
        <w:t xml:space="preserve">gekoppeld </w:t>
      </w:r>
      <w:r w:rsidR="00592C00">
        <w:t>d</w:t>
      </w:r>
      <w:r w:rsidR="00D35748">
        <w:t>ie</w:t>
      </w:r>
      <w:r w:rsidR="00592C00">
        <w:t xml:space="preserve"> alle Gebieden overlapt die </w:t>
      </w:r>
      <w:r w:rsidR="008F58B9">
        <w:t>vastleggen</w:t>
      </w:r>
      <w:r w:rsidR="00592C00">
        <w:t xml:space="preserve"> waar in zo’n winkelcentrum horeca is toegestaan.</w:t>
      </w:r>
      <w:r w:rsidR="00E10D59">
        <w:t xml:space="preserve"> </w:t>
      </w:r>
      <w:r w:rsidR="0053528E">
        <w:t xml:space="preserve">De Omgevingsnorm </w:t>
      </w:r>
      <w:r w:rsidR="0048267B">
        <w:t xml:space="preserve">‘Gezamenlijk maximum horeca-oppervlakte’ wordt gekoppeld aan de vier Locaties van de vier </w:t>
      </w:r>
      <w:r w:rsidR="00D35748">
        <w:t>winkelcentra</w:t>
      </w:r>
      <w:r w:rsidR="00B640A3">
        <w:t>; iedere Locatie heeft één Normwaarde</w:t>
      </w:r>
      <w:r w:rsidR="00D35748">
        <w:t xml:space="preserve"> </w:t>
      </w:r>
      <w:r w:rsidR="00B640A3">
        <w:t xml:space="preserve">die de totale maximum oppervlakte aan horeca </w:t>
      </w:r>
      <w:r w:rsidR="006870DE">
        <w:t xml:space="preserve">voor het betreffende winkelcentrum is. Uit de tekst van de regel </w:t>
      </w:r>
      <w:r w:rsidR="00BC16AF">
        <w:t xml:space="preserve">moet </w:t>
      </w:r>
      <w:r w:rsidR="006870DE">
        <w:t>blijk</w:t>
      </w:r>
      <w:r w:rsidR="00BC16AF">
        <w:t>en</w:t>
      </w:r>
      <w:r w:rsidR="006870DE">
        <w:t xml:space="preserve"> dat d</w:t>
      </w:r>
      <w:r w:rsidR="00BC16AF">
        <w:t xml:space="preserve">ie waarde het </w:t>
      </w:r>
      <w:r w:rsidR="006870DE">
        <w:t xml:space="preserve">maximum </w:t>
      </w:r>
      <w:r w:rsidR="00BC16AF">
        <w:t>is voor alle gebieden binnen een winkelcentrum waar horeca is toegestaan.</w:t>
      </w:r>
      <w:r w:rsidR="00A824D1">
        <w:t xml:space="preserve"> </w:t>
      </w:r>
      <w:r w:rsidR="001D74CB">
        <w:fldChar w:fldCharType="begin"/>
      </w:r>
      <w:r w:rsidR="001D74CB">
        <w:instrText xml:space="preserve"> REF _Ref_702d171bd04e825c65380ad51c3eecc4_1 \n \h </w:instrText>
      </w:r>
      <w:r w:rsidR="001D74CB">
        <w:fldChar w:fldCharType="separate"/>
      </w:r>
      <w:r w:rsidR="002D10A5">
        <w:t>Figuur 169</w:t>
      </w:r>
      <w:r w:rsidR="001D74CB">
        <w:fldChar w:fldCharType="end"/>
      </w:r>
      <w:r w:rsidR="0044477C">
        <w:t xml:space="preserve"> </w:t>
      </w:r>
      <w:r w:rsidR="006C108A">
        <w:t xml:space="preserve">geeft een idee van </w:t>
      </w:r>
      <w:r w:rsidR="0044477C">
        <w:t xml:space="preserve">hoe </w:t>
      </w:r>
      <w:r w:rsidR="00BE2026">
        <w:t xml:space="preserve">dit er in een viewer uit zou kunnen zien. De waarden die per winkelcentrum worden weergegeven zijn de waarden die verschijnen als in het annotatiescherm de </w:t>
      </w:r>
      <w:r w:rsidR="006F292E">
        <w:t>O</w:t>
      </w:r>
      <w:r w:rsidR="00BE2026">
        <w:t>mgev</w:t>
      </w:r>
      <w:r w:rsidR="006F292E">
        <w:t>ingsnorm ‘Gezamenlijk maximum horeca-oppervlakte’ wordt aangezet.</w:t>
      </w:r>
    </w:p>
    <w:p w14:paraId="097B2857" w14:textId="3CF65DC4" w:rsidR="00940661" w:rsidRDefault="009C3A89" w:rsidP="00AA6787">
      <w:pPr>
        <w:pStyle w:val="Figuur"/>
      </w:pPr>
      <w:r>
        <w:rPr>
          <w:noProof/>
        </w:rPr>
        <w:drawing>
          <wp:inline distT="0" distB="0" distL="0" distR="0" wp14:anchorId="6A18DA01" wp14:editId="71F772A7">
            <wp:extent cx="5128260" cy="2933700"/>
            <wp:effectExtent l="0" t="0" r="0" b="0"/>
            <wp:docPr id="194684400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128260" cy="2933700"/>
                    </a:xfrm>
                    <a:prstGeom prst="rect">
                      <a:avLst/>
                    </a:prstGeom>
                    <a:noFill/>
                  </pic:spPr>
                </pic:pic>
              </a:graphicData>
            </a:graphic>
          </wp:inline>
        </w:drawing>
      </w:r>
    </w:p>
    <w:p w14:paraId="44A9F58C" w14:textId="446E779D" w:rsidR="00940661" w:rsidRDefault="00AF5BDD" w:rsidP="00940661">
      <w:pPr>
        <w:pStyle w:val="Figuurbijschrift"/>
      </w:pPr>
      <w:bookmarkStart w:id="1281" w:name="_Ref_702d171bd04e825c65380ad51c3eecc4_1"/>
      <w:r>
        <w:t>Voorbeeld van hoe de toepassing van alternatieve oplossingsmogelijkheid 1 er in een viewer uitziet</w:t>
      </w:r>
      <w:bookmarkEnd w:id="128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79" Type="http://schemas.openxmlformats.org/officeDocument/2006/relationships/image" Target="media/image_e701a38ddc50e5ebe7d015f6420a1911.jpe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