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11AAA" w14:textId="77777777" w:rsidR="006A75D2" w:rsidRDefault="006A75D2" w:rsidP="006A75D2">
      <w:pPr>
        <w:pStyle w:val="Kop5"/>
      </w:pPr>
      <w:bookmarkStart w:id="1241" w:name="_Ref_d07be9f4a9a4cab0b01126e44bf53db2_1"/>
      <w:r>
        <w:t>Juridisch kader</w:t>
      </w:r>
      <w:bookmarkEnd w:id="1241"/>
    </w:p>
    <w:p w14:paraId="1458C035" w14:textId="2C18FD8C" w:rsidR="006A75D2" w:rsidRDefault="00FB4E2F" w:rsidP="006A75D2">
      <w:r>
        <w:t>Er geldt geen wettelijke verplichting om a</w:t>
      </w:r>
      <w:r w:rsidR="006A75D2" w:rsidRPr="00D12CC5">
        <w:t xml:space="preserve">fdeling 3.4 Awb </w:t>
      </w:r>
      <w:r>
        <w:t xml:space="preserve">toe te passen </w:t>
      </w:r>
      <w:r w:rsidR="006A75D2">
        <w:t xml:space="preserve">bij de voorbereiding van </w:t>
      </w:r>
      <w:r>
        <w:t>het geven van een instructie</w:t>
      </w:r>
      <w:r w:rsidR="00E40C43">
        <w:t xml:space="preserve">. </w:t>
      </w:r>
      <w:r w:rsidR="001957F6">
        <w:t>Het bestuursorgaan dat de instructie geeft</w:t>
      </w:r>
      <w:r w:rsidR="006C2526">
        <w:t>,</w:t>
      </w:r>
      <w:r w:rsidR="001957F6">
        <w:t xml:space="preserve"> kan </w:t>
      </w:r>
      <w:r w:rsidR="00AC4AE7">
        <w:t xml:space="preserve">bij het ontbreken van een wettelijke </w:t>
      </w:r>
      <w:r w:rsidR="00AC4AE7" w:rsidRPr="00AC4AE7">
        <w:t xml:space="preserve">verplichting </w:t>
      </w:r>
      <w:r w:rsidR="006C2526" w:rsidRPr="006C2526">
        <w:t xml:space="preserve">wel zelf besluiten </w:t>
      </w:r>
      <w:r w:rsidR="00AC4AE7" w:rsidRPr="00AC4AE7">
        <w:t>om afdeling 3.4 Awb toe te passen</w:t>
      </w:r>
      <w:r w:rsidR="006C2526">
        <w:rPr>
          <w:rStyle w:val="Voetnootmarkering"/>
        </w:rPr>
        <w:footnoteReference w:id="494"/>
      </w:r>
      <w:r w:rsidR="006C2526">
        <w:t>.</w:t>
      </w:r>
      <w:r w:rsidR="006F49BA">
        <w:t xml:space="preserve"> </w:t>
      </w:r>
      <w:r w:rsidR="009B5CE2">
        <w:t>G</w:t>
      </w:r>
      <w:r w:rsidR="006F49BA">
        <w:t>ezien het karakter van</w:t>
      </w:r>
      <w:r w:rsidR="009B5CE2">
        <w:t xml:space="preserve"> </w:t>
      </w:r>
      <w:r w:rsidR="006729E5">
        <w:t xml:space="preserve">de instructie </w:t>
      </w:r>
      <w:r w:rsidR="009B5CE2">
        <w:t>ligt</w:t>
      </w:r>
      <w:r w:rsidR="006F49BA">
        <w:t xml:space="preserve"> </w:t>
      </w:r>
      <w:r w:rsidR="006729E5">
        <w:t xml:space="preserve">het </w:t>
      </w:r>
      <w:r w:rsidR="006F49BA">
        <w:t xml:space="preserve">niet </w:t>
      </w:r>
      <w:r w:rsidR="00C16B1A">
        <w:t xml:space="preserve">erg </w:t>
      </w:r>
      <w:r w:rsidR="006F49BA">
        <w:t xml:space="preserve">voor de hand </w:t>
      </w:r>
      <w:r w:rsidR="00DC7109">
        <w:t xml:space="preserve">om </w:t>
      </w:r>
      <w:r w:rsidR="00C16B1A">
        <w:t>dat te doen</w:t>
      </w:r>
      <w:r w:rsidR="006729E5">
        <w:t xml:space="preserve">. </w:t>
      </w:r>
      <w:r w:rsidR="00B71500">
        <w:t xml:space="preserve">Als afdeling 3.4 Awb niet wordt toegepast, kan de rest van deze paragraaf </w:t>
      </w:r>
      <w:r w:rsidR="00D46A7A">
        <w:fldChar w:fldCharType="begin"/>
      </w:r>
      <w:r w:rsidR="00D46A7A">
        <w:instrText xml:space="preserve"> REF _Ref_7747828d250f2e1f63d5c49aee1655f3_1 \n \h </w:instrText>
      </w:r>
      <w:r w:rsidR="00D46A7A">
        <w:fldChar w:fldCharType="separate"/>
      </w:r>
      <w:r w:rsidR="00D33EA9">
        <w:t>12.6.3</w:t>
      </w:r>
      <w:r w:rsidR="00D46A7A">
        <w:fldChar w:fldCharType="end"/>
      </w:r>
      <w:r w:rsidR="00D46A7A">
        <w:t xml:space="preserve"> </w:t>
      </w:r>
      <w:r w:rsidR="00B71500">
        <w:t>worden overgeslagen en</w:t>
      </w:r>
      <w:r w:rsidR="0038172F">
        <w:t xml:space="preserve"> kan direct worden overgegaan naar paragraaf </w:t>
      </w:r>
      <w:r w:rsidR="0038172F">
        <w:fldChar w:fldCharType="begin"/>
      </w:r>
      <w:r w:rsidR="0038172F">
        <w:instrText xml:space="preserve"> REF _Ref_3fa03a1dbc771e04d3181078ba6cf6ce_1 \n \h </w:instrText>
      </w:r>
      <w:r w:rsidR="0038172F">
        <w:fldChar w:fldCharType="separate"/>
      </w:r>
      <w:r w:rsidR="00D33EA9">
        <w:t>12.6.4</w:t>
      </w:r>
      <w:r w:rsidR="0038172F">
        <w:fldChar w:fldCharType="end"/>
      </w:r>
      <w:r w:rsidR="0038172F">
        <w:t>.</w:t>
      </w:r>
      <w:r w:rsidR="00D46A7A">
        <w:t xml:space="preserve"> </w:t>
      </w:r>
      <w:r w:rsidR="00761C77">
        <w:t xml:space="preserve">Voor het geval </w:t>
      </w:r>
      <w:r w:rsidR="000D2BEC">
        <w:t>een bestuursorgaan e</w:t>
      </w:r>
      <w:r w:rsidR="00761C77">
        <w:t xml:space="preserve">r toch voor </w:t>
      </w:r>
      <w:r w:rsidR="000D2BEC">
        <w:t>kiest</w:t>
      </w:r>
      <w:r w:rsidR="00761C77">
        <w:t xml:space="preserve">, wordt </w:t>
      </w:r>
      <w:r w:rsidR="008C5283">
        <w:t xml:space="preserve">deze mogelijkheid hier wel beschreven </w:t>
      </w:r>
      <w:r w:rsidR="007A05FE">
        <w:t xml:space="preserve">om </w:t>
      </w:r>
      <w:r w:rsidR="008C5283">
        <w:t>het bestuursorgaan voldoende</w:t>
      </w:r>
      <w:r w:rsidR="00700C6A">
        <w:t xml:space="preserve"> handvatten voor de toepassing te geven</w:t>
      </w:r>
      <w:r w:rsidR="00B52180">
        <w:t>.</w:t>
      </w:r>
      <w:r w:rsidR="00700C6A">
        <w:t xml:space="preserve"> </w:t>
      </w:r>
      <w:r w:rsidR="00B52180">
        <w:t xml:space="preserve">Deze beschrijving moet </w:t>
      </w:r>
      <w:r w:rsidR="00700C6A">
        <w:t xml:space="preserve">niet </w:t>
      </w:r>
      <w:r w:rsidR="00B52180">
        <w:t xml:space="preserve">worden gelezen als aanbeveling </w:t>
      </w:r>
      <w:r w:rsidR="00700C6A">
        <w:t xml:space="preserve">om </w:t>
      </w:r>
      <w:r w:rsidR="00B52180">
        <w:t>afdeling 3.4 Awb toe te passen</w:t>
      </w:r>
      <w:r w:rsidR="00B0204B">
        <w:t xml:space="preserve"> bij het voorbereiden van een instructie</w:t>
      </w:r>
      <w:r w:rsidR="00190A71">
        <w:t>.</w:t>
      </w:r>
    </w:p>
    <w:p w14:paraId="2BD26508" w14:textId="1F5AFF33" w:rsidR="006A75D2" w:rsidRDefault="00190A71" w:rsidP="006A75D2">
      <w:r>
        <w:t>In het geval dat er voor wordt gekozen om</w:t>
      </w:r>
      <w:r w:rsidR="006A75D2">
        <w:t xml:space="preserve"> afdeling 3.4 Awb toe</w:t>
      </w:r>
      <w:r>
        <w:t xml:space="preserve"> t</w:t>
      </w:r>
      <w:r w:rsidR="006A75D2">
        <w:t>e</w:t>
      </w:r>
      <w:r>
        <w:t xml:space="preserve"> </w:t>
      </w:r>
      <w:r w:rsidR="006A75D2">
        <w:t>pas</w:t>
      </w:r>
      <w:r>
        <w:t>sen</w:t>
      </w:r>
      <w:r w:rsidR="006A75D2">
        <w:t xml:space="preserve">, moet dat als volgt. </w:t>
      </w:r>
      <w:r w:rsidR="007774C9">
        <w:t xml:space="preserve">GS moeten, </w:t>
      </w:r>
      <w:r w:rsidR="006A75D2">
        <w:t>respectievelijk minister moet</w:t>
      </w:r>
      <w:r w:rsidR="007774C9">
        <w:t>,</w:t>
      </w:r>
      <w:r w:rsidR="006A75D2">
        <w:t xml:space="preserve"> </w:t>
      </w:r>
      <w:r w:rsidR="006A75D2" w:rsidRPr="000D6DD4">
        <w:t>het ontwerp van het te nemen besluit, met de daarop betrekking hebbende stukken die redelijkerwijs nodig zijn voor een beoordeling van het ontwerp, ter inzage</w:t>
      </w:r>
      <w:r w:rsidR="006A75D2">
        <w:t xml:space="preserve"> leggen</w:t>
      </w:r>
      <w:r w:rsidR="006A75D2">
        <w:rPr>
          <w:rStyle w:val="Voetnootmarkering"/>
        </w:rPr>
        <w:footnoteReference w:id="495"/>
      </w:r>
      <w:r w:rsidR="006A75D2">
        <w:t>. Daaraan v</w:t>
      </w:r>
      <w:r w:rsidR="006A75D2" w:rsidRPr="007F5A8E">
        <w:t xml:space="preserve">oorafgaand geeft </w:t>
      </w:r>
      <w:r w:rsidR="006A75D2">
        <w:t>het bevoegd gezag</w:t>
      </w:r>
      <w:r w:rsidR="006A75D2" w:rsidRPr="007F5A8E">
        <w:t xml:space="preserve"> kennis van het ontwerp</w:t>
      </w:r>
      <w:r w:rsidR="006A75D2">
        <w:rPr>
          <w:rStyle w:val="Voetnootmarkering"/>
        </w:rPr>
        <w:footnoteReference w:id="496"/>
      </w:r>
      <w:r w:rsidR="006A75D2">
        <w:t xml:space="preserve"> </w:t>
      </w:r>
      <w:r w:rsidR="006A75D2" w:rsidRPr="00676BBD">
        <w:t xml:space="preserve">in </w:t>
      </w:r>
      <w:r w:rsidR="006A75D2" w:rsidRPr="008A3A16">
        <w:t>het provinciaal blad dan wel de Staatscourant</w:t>
      </w:r>
      <w:r w:rsidR="006A75D2">
        <w:rPr>
          <w:rStyle w:val="Voetnootmarkering"/>
        </w:rPr>
        <w:footnoteReference w:id="497"/>
      </w:r>
      <w:r w:rsidR="006A75D2" w:rsidRPr="007F5A8E">
        <w:t xml:space="preserve">. </w:t>
      </w:r>
      <w:r w:rsidR="006A75D2">
        <w:t xml:space="preserve">Zienswijzen over het ontwerp kunnen </w:t>
      </w:r>
      <w:r w:rsidR="006A75D2" w:rsidRPr="00730C98">
        <w:t xml:space="preserve">naar voren worden gebracht door </w:t>
      </w:r>
      <w:r w:rsidR="00F544CF">
        <w:t>belanghebbenden</w:t>
      </w:r>
      <w:r w:rsidR="006A75D2">
        <w:rPr>
          <w:rStyle w:val="Voetnootmarkering"/>
        </w:rPr>
        <w:footnoteReference w:id="498"/>
      </w:r>
      <w:r w:rsidR="006A75D2">
        <w:t xml:space="preserve">. De termijn daarvoor bedraagt </w:t>
      </w:r>
      <w:r w:rsidR="006A75D2" w:rsidRPr="00090C8F">
        <w:t>zes weken</w:t>
      </w:r>
      <w:r w:rsidR="006A75D2">
        <w:rPr>
          <w:rStyle w:val="Voetnootmarkering"/>
        </w:rPr>
        <w:footnoteReference w:id="499"/>
      </w:r>
      <w:r w:rsidR="006A75D2">
        <w:t xml:space="preserve">. De terinzagelegging geschiedt zowel op elektronische wijze als op een door de </w:t>
      </w:r>
      <w:r w:rsidR="006A75D2" w:rsidRPr="00316935">
        <w:t>provincie respectievelijk minister</w:t>
      </w:r>
      <w:r w:rsidR="006A75D2">
        <w:t xml:space="preserve"> aan te wijzen locatie</w:t>
      </w:r>
      <w:r w:rsidR="006A75D2">
        <w:rPr>
          <w:rStyle w:val="Voetnootmarkering"/>
        </w:rPr>
        <w:footnoteReference w:id="500"/>
      </w:r>
      <w:r w:rsidR="006A75D2">
        <w:t xml:space="preserve">. </w:t>
      </w:r>
      <w:r w:rsidR="00D84553" w:rsidRPr="00D84553">
        <w:t>Met de publicatie van de volledige inhoud van het ontwerpbesluit</w:t>
      </w:r>
      <w:r w:rsidR="006A75D2" w:rsidRPr="004B51E7">
        <w:t xml:space="preserve"> </w:t>
      </w:r>
      <w:r w:rsidR="006A75D2" w:rsidRPr="00B71EF0">
        <w:t xml:space="preserve">in </w:t>
      </w:r>
      <w:r w:rsidR="006A75D2" w:rsidRPr="00E06FDC">
        <w:t xml:space="preserve">provinciaal blad respectievelijk Staatscourant </w:t>
      </w:r>
      <w:r w:rsidR="006A75D2" w:rsidRPr="00B71EF0">
        <w:t>en het</w:t>
      </w:r>
      <w:r w:rsidR="006A75D2">
        <w:t>, zowel op overheid.nl als in DSO-LV,</w:t>
      </w:r>
      <w:r w:rsidR="006A75D2" w:rsidRPr="00B71EF0">
        <w:t xml:space="preserve"> kunnen raadplegen </w:t>
      </w:r>
      <w:r w:rsidR="006A75D2" w:rsidRPr="000B2872">
        <w:t xml:space="preserve">van </w:t>
      </w:r>
      <w:r w:rsidR="004509AC">
        <w:t xml:space="preserve">de </w:t>
      </w:r>
      <w:r w:rsidR="00D84553">
        <w:t xml:space="preserve">initiële </w:t>
      </w:r>
      <w:r w:rsidR="004509AC">
        <w:t>instructie</w:t>
      </w:r>
      <w:r w:rsidR="006A75D2" w:rsidRPr="000B2872">
        <w:t xml:space="preserve"> </w:t>
      </w:r>
      <w:r w:rsidR="004509AC">
        <w:t>(</w:t>
      </w:r>
      <w:r w:rsidR="006A75D2">
        <w:t xml:space="preserve">of </w:t>
      </w:r>
      <w:r w:rsidR="00A52581" w:rsidRPr="00A52581">
        <w:t xml:space="preserve">van de proefversie </w:t>
      </w:r>
      <w:r w:rsidR="006A75D2" w:rsidRPr="00B71EF0">
        <w:t xml:space="preserve">van </w:t>
      </w:r>
      <w:r w:rsidR="00BB23B1">
        <w:t>de instructie</w:t>
      </w:r>
      <w:r w:rsidR="006A75D2" w:rsidRPr="00B71EF0">
        <w:t xml:space="preserve"> waarin het ontwerp</w:t>
      </w:r>
      <w:r w:rsidR="006A75D2">
        <w:t>-wijzigings</w:t>
      </w:r>
      <w:r w:rsidR="006A75D2" w:rsidRPr="00B71EF0">
        <w:t>besluit is geconsolideerd</w:t>
      </w:r>
      <w:r w:rsidR="004509AC">
        <w:t>)</w:t>
      </w:r>
      <w:r w:rsidR="006A75D2" w:rsidRPr="00B71EF0">
        <w:t xml:space="preserve">, wordt </w:t>
      </w:r>
      <w:r w:rsidR="006A75D2">
        <w:t>invulling gegeven aan de</w:t>
      </w:r>
      <w:r w:rsidR="006A75D2" w:rsidRPr="00B71EF0">
        <w:t xml:space="preserve"> terinzagelegging</w:t>
      </w:r>
      <w:r w:rsidR="006A75D2">
        <w:t xml:space="preserve"> </w:t>
      </w:r>
      <w:r w:rsidR="006A75D2" w:rsidRPr="002E076A">
        <w:t>op elektronische wijze</w:t>
      </w:r>
      <w:r w:rsidR="006A75D2">
        <w:t xml:space="preserve">. De terinzagelegging op een door provincie of minister te bepalen locatie kan worden georganiseerd door op een </w:t>
      </w:r>
      <w:r w:rsidR="006A75D2">
        <w:lastRenderedPageBreak/>
        <w:t>in de kennisgeving aangegeven locatie de mogelijkheid te bieden om op een beeldscherm het ontwerpbesluit in het betreffende publicatieblad of in DSO-LV te raadplegen.</w:t>
      </w:r>
    </w:p>
    <w:p w14:paraId="63AFB954" w14:textId="6DD25D1A" w:rsidR="00ED0A54" w:rsidRPr="00097730" w:rsidRDefault="006A75D2" w:rsidP="006A75D2">
      <w:r>
        <w:t xml:space="preserve">Om aan bovenstaande verplichtingen te voldoen moeten het ontwerpbesluit en de kennisgeving, met bijbehorende informatie, aan de LVBB worden aangeleverd. De aanlevering van het ontwerpbesluit is beschreven in paragraaf </w:t>
      </w:r>
      <w:r w:rsidR="000B22DE">
        <w:fldChar w:fldCharType="begin"/>
      </w:r>
      <w:r w:rsidR="000B22DE">
        <w:instrText xml:space="preserve"> REF _Ref_d07be9f4a9a4cab0b01126e44bf53db2_2 \n \h </w:instrText>
      </w:r>
      <w:r w:rsidR="000B22DE">
        <w:fldChar w:fldCharType="separate"/>
      </w:r>
      <w:r w:rsidR="00D33EA9">
        <w:t>12.6.3.2</w:t>
      </w:r>
      <w:r w:rsidR="000B22DE">
        <w:fldChar w:fldCharType="end"/>
      </w:r>
      <w:r>
        <w:t xml:space="preserve">; de aanlevering van de kennisgeving in paragraaf </w:t>
      </w:r>
      <w:r w:rsidR="000B22DE">
        <w:fldChar w:fldCharType="begin"/>
      </w:r>
      <w:r w:rsidR="000B22DE">
        <w:instrText xml:space="preserve"> REF _Ref_83e6cbdbf7fccb1fda44d7485b19c93b_1 \n \h </w:instrText>
      </w:r>
      <w:r w:rsidR="000B22DE">
        <w:fldChar w:fldCharType="separate"/>
      </w:r>
      <w:r w:rsidR="00D33EA9">
        <w:t>12.6.3.3</w:t>
      </w:r>
      <w:r w:rsidR="000B22DE">
        <w:fldChar w:fldCharType="end"/>
      </w:r>
      <w:r>
        <w:t>.</w:t>
      </w:r>
      <w:bookmarkStart w:id="1243" w:name="_Ref_d07be9f4a9a4cab0b01126e44bf53db2_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