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478D" w14:textId="77777777" w:rsidR="00DB6EB3" w:rsidRDefault="00DB6EB3" w:rsidP="00DB6EB3">
      <w:pPr>
        <w:pStyle w:val="Kop5"/>
      </w:pPr>
      <w:r>
        <w:t>Juridisch kader</w:t>
      </w:r>
    </w:p>
    <w:p w14:paraId="7B4716CB" w14:textId="7FA28DB8" w:rsidR="00ED0A54" w:rsidRDefault="00FD0BD0" w:rsidP="00DB6EB3">
      <w:r>
        <w:t xml:space="preserve">Zoals </w:t>
      </w:r>
      <w:r w:rsidR="003253C8">
        <w:t xml:space="preserve">in paragraaf </w:t>
      </w:r>
      <w:r w:rsidR="003253C8">
        <w:fldChar w:fldCharType="begin"/>
      </w:r>
      <w:r w:rsidR="003253C8">
        <w:instrText xml:space="preserve"> REF _Ref_08d043d4511059d0099447b7dc0b5dd3_1 \n \h </w:instrText>
      </w:r>
      <w:r w:rsidR="003253C8">
        <w:fldChar w:fldCharType="separate"/>
      </w:r>
      <w:r w:rsidR="00D33EA9">
        <w:t>12.6.4.1</w:t>
      </w:r>
      <w:r w:rsidR="003253C8">
        <w:fldChar w:fldCharType="end"/>
      </w:r>
      <w:r w:rsidR="004D4FA5">
        <w:t xml:space="preserve"> is beschreven kan </w:t>
      </w:r>
      <w:r w:rsidR="004D4FA5" w:rsidRPr="004D4FA5">
        <w:t>een belanghebbende</w:t>
      </w:r>
      <w:r w:rsidR="004D4FA5">
        <w:t xml:space="preserve"> </w:t>
      </w:r>
      <w:r w:rsidR="004D4FA5" w:rsidRPr="004D4FA5">
        <w:t>beroep</w:t>
      </w:r>
      <w:r w:rsidR="004D4FA5">
        <w:t xml:space="preserve"> </w:t>
      </w:r>
      <w:r w:rsidR="004D4FA5" w:rsidRPr="004D4FA5">
        <w:t xml:space="preserve">instellen </w:t>
      </w:r>
      <w:r w:rsidR="008B469A">
        <w:t>t</w:t>
      </w:r>
      <w:r w:rsidR="00DB6EB3">
        <w:t xml:space="preserve">egen </w:t>
      </w:r>
      <w:r w:rsidR="008B469A">
        <w:t>een instructie</w:t>
      </w:r>
      <w:r w:rsidR="00DB6EB3">
        <w:rPr>
          <w:rStyle w:val="Voetnootmarkering"/>
        </w:rPr>
        <w:footnoteReference w:id="515"/>
      </w:r>
      <w:r w:rsidR="00DB6EB3">
        <w:t xml:space="preserve">. </w:t>
      </w:r>
      <w:r w:rsidR="00DB6EB3" w:rsidRPr="00DA45EA">
        <w:t>De termijn voor het indienen van een beroepschrift bedraagt zes weken</w:t>
      </w:r>
      <w:r w:rsidR="00DB6EB3">
        <w:rPr>
          <w:rStyle w:val="Voetnootmarkering"/>
        </w:rPr>
        <w:footnoteReference w:id="516"/>
      </w:r>
      <w:r w:rsidR="00DB6EB3" w:rsidRPr="00DA45EA">
        <w:t>.</w:t>
      </w:r>
    </w:p>
    <w:p w14:paraId="0994C113" w14:textId="71426C91" w:rsidR="00DB6EB3" w:rsidRDefault="005113B3" w:rsidP="00DB6EB3">
      <w:commentRangeStart w:id="1272"/>
      <w:r>
        <w:lastRenderedPageBreak/>
        <w:t>T</w:t>
      </w:r>
      <w:r w:rsidRPr="005113B3">
        <w:t>egen een instructie waaraan uitvoering wordt gegeven door het nemen van een voor beroep vatbaar besluit</w:t>
      </w:r>
      <w:r>
        <w:t xml:space="preserve"> </w:t>
      </w:r>
      <w:r w:rsidRPr="005113B3">
        <w:t xml:space="preserve">(door het bestuursorgaan aan wie de instructie is gegeven), </w:t>
      </w:r>
      <w:r>
        <w:t xml:space="preserve">kan </w:t>
      </w:r>
      <w:r w:rsidRPr="005113B3">
        <w:t>pas beroep worden ingesteld nadat dat andere besluit is genomen en bekendgemaakt</w:t>
      </w:r>
      <w:r w:rsidR="00D74397">
        <w:rPr>
          <w:rStyle w:val="Voetnootmarkering"/>
        </w:rPr>
        <w:footnoteReference w:id="517"/>
      </w:r>
      <w:r w:rsidRPr="005113B3">
        <w:t>.</w:t>
      </w:r>
      <w:r>
        <w:t xml:space="preserve"> De beroepstermijn van dit type instructie start de dag na de bekendmaking van het andere besluit. </w:t>
      </w:r>
      <w:r w:rsidR="00D74397" w:rsidRPr="00697A2F">
        <w:t xml:space="preserve">Tegen een instructie waaraan niet uitvoering wordt gegeven door het nemen van een voor beroep vatbaar besluit kan </w:t>
      </w:r>
      <w:r w:rsidR="00D74397">
        <w:t>direct</w:t>
      </w:r>
      <w:r w:rsidR="00D74397" w:rsidRPr="00697A2F">
        <w:t xml:space="preserve"> beroep worden ingesteld</w:t>
      </w:r>
      <w:r w:rsidR="00D74397" w:rsidRPr="00697A2F">
        <w:rPr>
          <w:rStyle w:val="Voetnootmarkering"/>
        </w:rPr>
        <w:footnoteReference w:id="518"/>
      </w:r>
      <w:r w:rsidR="00D74397">
        <w:t>.</w:t>
      </w:r>
      <w:r w:rsidR="00D74397" w:rsidRPr="00697A2F">
        <w:t xml:space="preserve"> </w:t>
      </w:r>
      <w:r w:rsidR="00D74397">
        <w:t xml:space="preserve">De beroepstermijn </w:t>
      </w:r>
      <w:r w:rsidR="00D74397" w:rsidRPr="00697A2F">
        <w:t xml:space="preserve">start </w:t>
      </w:r>
      <w:r w:rsidR="00D74397">
        <w:t xml:space="preserve">in dit geval </w:t>
      </w:r>
      <w:r w:rsidR="00D74397" w:rsidRPr="00697A2F">
        <w:t>de dag na de bekendmaking van de instructie</w:t>
      </w:r>
      <w:r w:rsidR="00DB6EB3">
        <w:rPr>
          <w:rStyle w:val="Voetnootmarkering"/>
        </w:rPr>
        <w:footnoteReference w:id="519"/>
      </w:r>
      <w:r w:rsidR="00DB6EB3">
        <w:t xml:space="preserve">. </w:t>
      </w:r>
      <w:commentRangeEnd w:id="1272"/>
      <w:r w:rsidR="00D82658">
        <w:rPr>
          <w:rStyle w:val="Verwijzingopmerking"/>
        </w:rPr>
        <w:commentReference w:id="1272"/>
      </w:r>
    </w:p>
    <w:p w14:paraId="2AC8F890" w14:textId="77777777" w:rsidR="00233F87" w:rsidRDefault="00233F87" w:rsidP="00DB6EB3"/>
    <w:p w14:paraId="6B907BF5" w14:textId="6AF5DDAD" w:rsidR="00DB6EB3" w:rsidRDefault="00DB6EB3" w:rsidP="00DB6EB3">
      <w:r>
        <w:t xml:space="preserve">Als tegen </w:t>
      </w:r>
      <w:r w:rsidR="002E7DE9">
        <w:t xml:space="preserve">de instructie (of </w:t>
      </w:r>
      <w:r w:rsidRPr="00317DBE">
        <w:t xml:space="preserve">het besluit tot </w:t>
      </w:r>
      <w:r>
        <w:t>wijziging</w:t>
      </w:r>
      <w:r w:rsidRPr="00317DBE">
        <w:t xml:space="preserve"> van </w:t>
      </w:r>
      <w:r w:rsidR="002E7DE9">
        <w:t xml:space="preserve">een instructie) </w:t>
      </w:r>
      <w:r>
        <w:t xml:space="preserve">beroep is ingesteld, kan de indiener van het beroepschrift een verzoek om voorlopige voorziening indienen bij de Voorzitter van de </w:t>
      </w:r>
      <w:r w:rsidRPr="00443232">
        <w:t>Afdeling bestuursrechtspraak van de Raad van State</w:t>
      </w:r>
      <w:r>
        <w:rPr>
          <w:rStyle w:val="Voetnootmarkering"/>
        </w:rPr>
        <w:footnoteReference w:id="520"/>
      </w:r>
      <w:r>
        <w:t xml:space="preserve">. De Voorzitter kan dan een </w:t>
      </w:r>
      <w:r w:rsidRPr="003B5051">
        <w:t>voorlopige voorziening</w:t>
      </w:r>
      <w:r>
        <w:t xml:space="preserve"> treffen.</w:t>
      </w:r>
      <w:r w:rsidRPr="00443232">
        <w:t xml:space="preserve"> </w:t>
      </w:r>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521"/>
      </w:r>
      <w:r>
        <w:t>:</w:t>
      </w:r>
    </w:p>
    <w:p w14:paraId="20F05354" w14:textId="77777777" w:rsidR="00DB6EB3" w:rsidRDefault="00DB6EB3" w:rsidP="00922F9C">
      <w:pPr>
        <w:pStyle w:val="Opsommingnummers1"/>
        <w:numPr>
          <w:ilvl w:val="0"/>
          <w:numId w:val="67"/>
        </w:numPr>
      </w:pPr>
      <w:r>
        <w:t>onbevoegdverklaring van de voorzieningenrechter,</w:t>
      </w:r>
    </w:p>
    <w:p w14:paraId="3EB97197" w14:textId="77777777" w:rsidR="00DB6EB3" w:rsidRDefault="00DB6EB3" w:rsidP="00922F9C">
      <w:pPr>
        <w:pStyle w:val="Opsommingnummers1"/>
        <w:numPr>
          <w:ilvl w:val="0"/>
          <w:numId w:val="67"/>
        </w:numPr>
      </w:pPr>
      <w:r>
        <w:t>niet-ontvankelijkverklaring van het verzoek,</w:t>
      </w:r>
    </w:p>
    <w:p w14:paraId="6B4790E9" w14:textId="77777777" w:rsidR="00DB6EB3" w:rsidRDefault="00DB6EB3" w:rsidP="00922F9C">
      <w:pPr>
        <w:pStyle w:val="Opsommingnummers1"/>
        <w:numPr>
          <w:ilvl w:val="0"/>
          <w:numId w:val="67"/>
        </w:numPr>
      </w:pPr>
      <w:r>
        <w:t>afwijzing van het verzoek, of</w:t>
      </w:r>
    </w:p>
    <w:p w14:paraId="338F196E" w14:textId="77777777" w:rsidR="00DB6EB3" w:rsidRDefault="00DB6EB3" w:rsidP="00922F9C">
      <w:pPr>
        <w:pStyle w:val="Opsommingnummers1"/>
        <w:numPr>
          <w:ilvl w:val="0"/>
          <w:numId w:val="67"/>
        </w:numPr>
      </w:pPr>
      <w:r>
        <w:t>gehele of gedeeltelijke toewijzing van het verzoek.</w:t>
      </w:r>
    </w:p>
    <w:p w14:paraId="13CF6243" w14:textId="152A4ABD" w:rsidR="00DB6EB3" w:rsidRDefault="00DB6EB3" w:rsidP="00DB6EB3">
      <w:r>
        <w:t xml:space="preserve">De uitspraken die onder </w:t>
      </w:r>
      <w:r w:rsidR="006175FB">
        <w:t>1</w:t>
      </w:r>
      <w:r>
        <w:t xml:space="preserve"> t/m </w:t>
      </w:r>
      <w:r w:rsidR="006175FB">
        <w:t>3</w:t>
      </w:r>
      <w:r>
        <w:t xml:space="preserve"> zijn genoemd hebben geen gevolgen voor de </w:t>
      </w:r>
      <w:r w:rsidR="00C66115" w:rsidRPr="00C66115">
        <w:t xml:space="preserve">juridische </w:t>
      </w:r>
      <w:r>
        <w:t xml:space="preserve">status van </w:t>
      </w:r>
      <w:r w:rsidR="00C66115">
        <w:t>de instructie</w:t>
      </w:r>
      <w:r>
        <w:t xml:space="preserve">.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15F95AE4" w14:textId="77777777" w:rsidR="00DB6EB3" w:rsidRDefault="00DB6EB3" w:rsidP="00DB6EB3"/>
    <w:p w14:paraId="1A20994C" w14:textId="77777777" w:rsidR="00DB6EB3" w:rsidRDefault="00DB6EB3" w:rsidP="00DB6EB3">
      <w:r>
        <w:t xml:space="preserve">Na de behandeling van </w:t>
      </w:r>
      <w:r w:rsidRPr="00C67D84">
        <w:t>eventuele</w:t>
      </w:r>
      <w:r>
        <w:t xml:space="preserve"> verzoek(en) om voorlopige voorziening, het vooronderzoek en het </w:t>
      </w:r>
      <w:r w:rsidRPr="00F74D91">
        <w:t>onderzoek</w:t>
      </w:r>
      <w:r>
        <w:t xml:space="preserve"> ter zitting doet de bestuursrechter uitspraak in de hoofdzaak, oftewel op de ingestelde beroepen. De </w:t>
      </w:r>
      <w:r w:rsidRPr="009110C6">
        <w:t xml:space="preserve">bestuursrechter </w:t>
      </w:r>
      <w:r w:rsidRPr="00FF2AF8">
        <w:t>kan de volgende uitspraken doen</w:t>
      </w:r>
      <w:r>
        <w:rPr>
          <w:rStyle w:val="Voetnootmarkering"/>
        </w:rPr>
        <w:footnoteReference w:id="522"/>
      </w:r>
      <w:r>
        <w:t>:</w:t>
      </w:r>
    </w:p>
    <w:p w14:paraId="6FA5C27C" w14:textId="77777777" w:rsidR="00DB6EB3" w:rsidRDefault="00DB6EB3" w:rsidP="00922F9C">
      <w:pPr>
        <w:pStyle w:val="Opsommingnummers1"/>
        <w:numPr>
          <w:ilvl w:val="0"/>
          <w:numId w:val="68"/>
        </w:numPr>
      </w:pPr>
      <w:r>
        <w:t>onbevoegdverklaring van de bestuursrechter,</w:t>
      </w:r>
    </w:p>
    <w:p w14:paraId="452312FF" w14:textId="77777777" w:rsidR="00DB6EB3" w:rsidRDefault="00DB6EB3" w:rsidP="00922F9C">
      <w:pPr>
        <w:pStyle w:val="Opsommingnummers1"/>
        <w:numPr>
          <w:ilvl w:val="0"/>
          <w:numId w:val="68"/>
        </w:numPr>
      </w:pPr>
      <w:r>
        <w:t>niet-ontvankelijkverklaring van het beroep,</w:t>
      </w:r>
    </w:p>
    <w:p w14:paraId="6D9C9587" w14:textId="77777777" w:rsidR="00DB6EB3" w:rsidRDefault="00DB6EB3" w:rsidP="00922F9C">
      <w:pPr>
        <w:pStyle w:val="Opsommingnummers1"/>
        <w:numPr>
          <w:ilvl w:val="0"/>
          <w:numId w:val="68"/>
        </w:numPr>
      </w:pPr>
      <w:r>
        <w:t>ongegrondverklaring van het beroep, of</w:t>
      </w:r>
    </w:p>
    <w:p w14:paraId="2B215487" w14:textId="77777777" w:rsidR="00DB6EB3" w:rsidRDefault="00DB6EB3" w:rsidP="00922F9C">
      <w:pPr>
        <w:pStyle w:val="Opsommingnummers1"/>
        <w:numPr>
          <w:ilvl w:val="0"/>
          <w:numId w:val="68"/>
        </w:numPr>
      </w:pPr>
      <w:r>
        <w:t>gegrondverklaring van het beroep.</w:t>
      </w:r>
    </w:p>
    <w:p w14:paraId="38B49BE1" w14:textId="2A465B0D" w:rsidR="00DB6EB3" w:rsidRDefault="00DB6EB3" w:rsidP="00DB6EB3">
      <w:r w:rsidRPr="006A2D13">
        <w:t xml:space="preserve">De uitspraken die onder </w:t>
      </w:r>
      <w:r w:rsidR="006175FB">
        <w:t>1</w:t>
      </w:r>
      <w:r w:rsidRPr="006A2D13">
        <w:t xml:space="preserve"> t/</w:t>
      </w:r>
      <w:r w:rsidR="006175FB">
        <w:t>m 3</w:t>
      </w:r>
      <w:r w:rsidRPr="006A2D13">
        <w:t xml:space="preserve"> zijn genoemd hebben </w:t>
      </w:r>
      <w:r w:rsidR="00C66115">
        <w:t xml:space="preserve">tot gevolg dat de instructie </w:t>
      </w:r>
      <w:r w:rsidR="00C66115" w:rsidRPr="00C66115">
        <w:t>onherroepelijk is. Ze hebben geen gevolgen voor de inhoud van</w:t>
      </w:r>
      <w:r w:rsidR="00C66115">
        <w:t xml:space="preserve"> </w:t>
      </w:r>
      <w:r w:rsidR="00C66115" w:rsidRPr="00C66115">
        <w:t>de instructie</w:t>
      </w:r>
      <w:r w:rsidRPr="006A2D13">
        <w:t xml:space="preserve">.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523"/>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524"/>
      </w:r>
      <w:r w:rsidRPr="00C74C1A">
        <w:t xml:space="preserve">. </w:t>
      </w:r>
      <w:r>
        <w:t xml:space="preserve">De </w:t>
      </w:r>
      <w:r w:rsidRPr="005853F5">
        <w:t>bestuursrechter</w:t>
      </w:r>
      <w:r>
        <w:t xml:space="preserve"> kan echter bepalen dat</w:t>
      </w:r>
      <w:r>
        <w:rPr>
          <w:rStyle w:val="Voetnootmarkering"/>
        </w:rPr>
        <w:footnoteReference w:id="525"/>
      </w:r>
      <w:r>
        <w:t>:</w:t>
      </w:r>
    </w:p>
    <w:p w14:paraId="03CCE29B" w14:textId="77777777" w:rsidR="00DB6EB3" w:rsidRDefault="00DB6EB3" w:rsidP="00DB6EB3">
      <w:pPr>
        <w:pStyle w:val="Opsommingtekens1"/>
      </w:pPr>
      <w:r w:rsidRPr="001A0F01">
        <w:t>de rechtsgevolgen van het vernietigde besluit of het vernietigde gedeelte daarvan geheel of gedeeltelijk in stand blijven, of</w:t>
      </w:r>
    </w:p>
    <w:p w14:paraId="661DFBF2" w14:textId="77777777" w:rsidR="00DB6EB3" w:rsidRDefault="00DB6EB3" w:rsidP="00DB6EB3">
      <w:pPr>
        <w:pStyle w:val="Opsommingtekens1"/>
      </w:pPr>
      <w:r w:rsidRPr="007A1510">
        <w:t>zijn uitspraak in de plaats treedt van het vernietigde besluit of het vernietigde gedeelte daarvan.</w:t>
      </w:r>
    </w:p>
    <w:p w14:paraId="27575020" w14:textId="77777777" w:rsidR="00DB6EB3" w:rsidRDefault="00DB6EB3" w:rsidP="00DB6EB3">
      <w:r>
        <w:lastRenderedPageBreak/>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526"/>
      </w:r>
      <w:r w:rsidRPr="0051135F">
        <w:t>:</w:t>
      </w:r>
    </w:p>
    <w:p w14:paraId="5BA9B3F7" w14:textId="77777777" w:rsidR="00DB6EB3" w:rsidRDefault="00DB6EB3" w:rsidP="00DB6EB3">
      <w:pPr>
        <w:pStyle w:val="Opsommingtekens1"/>
      </w:pPr>
      <w:r w:rsidRPr="0051135F">
        <w:t>bepalen dat wettelijke voorschriften over de voorbereiding van het nieuwe besluit of de andere handeling geheel of gedeeltelijk buiten toepassing blijven;</w:t>
      </w:r>
    </w:p>
    <w:p w14:paraId="1869EA7E" w14:textId="77777777" w:rsidR="00DB6EB3" w:rsidRDefault="00DB6EB3" w:rsidP="00DB6EB3">
      <w:pPr>
        <w:pStyle w:val="Opsommingtekens1"/>
      </w:pPr>
      <w:r w:rsidRPr="00C6111A">
        <w:t>het bestuursorgaan een termijn stellen voor het nemen van het nieuwe besluit of het verrichten van de andere handeling.</w:t>
      </w:r>
    </w:p>
    <w:p w14:paraId="32559C7F" w14:textId="77777777" w:rsidR="00DB6EB3" w:rsidRDefault="00DB6EB3" w:rsidP="00DB6EB3"/>
    <w:p w14:paraId="19617ADF" w14:textId="71A4DA87" w:rsidR="00DB6EB3" w:rsidRDefault="00DB6EB3" w:rsidP="00DB6EB3">
      <w:r>
        <w:t>Als</w:t>
      </w:r>
      <w:r w:rsidRPr="008775B7">
        <w:t xml:space="preserve"> de bestuursrechter </w:t>
      </w:r>
      <w:r w:rsidR="00E67EB0" w:rsidRPr="00E67EB0">
        <w:t>de instructie (of het besluit tot wijziging van een instructie) geheel of gedeeltelijk vernietigt, moeten GS respectievelijk minister mededeling doen van de uitspraak in het provinciaal blad dan wel de Staatscourant</w:t>
      </w:r>
      <w:r>
        <w:rPr>
          <w:rStyle w:val="Voetnootmarkering"/>
        </w:rPr>
        <w:footnoteReference w:id="527"/>
      </w:r>
      <w:r w:rsidRPr="008775B7">
        <w:t>.</w:t>
      </w:r>
    </w:p>
    <w:p w14:paraId="4BB38278" w14:textId="77777777" w:rsidR="00DB6EB3" w:rsidRDefault="00DB6EB3" w:rsidP="00DB6EB3"/>
    <w:p w14:paraId="40A11E0B" w14:textId="6ECF7278" w:rsidR="00DB6EB3" w:rsidRDefault="00DD1F70" w:rsidP="00DB6EB3">
      <w:r>
        <w:t xml:space="preserve">GS respectievelijk minister moeten, ten behoeve van ontsluiting in DSO-LV, aan het Kadaster </w:t>
      </w:r>
      <w:r w:rsidRPr="00DC12EF">
        <w:t xml:space="preserve">informatie </w:t>
      </w:r>
      <w:r>
        <w:t xml:space="preserve">verstrekken over de status van de instructie </w:t>
      </w:r>
      <w:r w:rsidRPr="008F33BB">
        <w:t>(of het besluit tot wijziging van een instructie)</w:t>
      </w:r>
      <w:r>
        <w:rPr>
          <w:rStyle w:val="Voetnootmarkering"/>
        </w:rPr>
        <w:footnoteReference w:id="528"/>
      </w:r>
      <w:r>
        <w:t>.</w:t>
      </w:r>
      <w:r w:rsidR="00DB6EB3">
        <w:t xml:space="preserve"> Deze informatieverstrekking geschiedt via een aanlevering aan de LVBB, die de informatie doorlevert aan DSO-LV. Het betreft informatie over</w:t>
      </w:r>
      <w:r w:rsidR="00DB6EB3">
        <w:rPr>
          <w:rStyle w:val="Voetnootmarkering"/>
        </w:rPr>
        <w:footnoteReference w:id="529"/>
      </w:r>
      <w:r w:rsidR="00DB6EB3">
        <w:t>:</w:t>
      </w:r>
    </w:p>
    <w:p w14:paraId="000A6DC8" w14:textId="14D63927" w:rsidR="00DB6EB3" w:rsidRDefault="00DB6EB3" w:rsidP="00DB6EB3">
      <w:pPr>
        <w:pStyle w:val="Opsommingtekens1"/>
      </w:pPr>
      <w:r>
        <w:t>het gegeven dat tegen het besluit beroep is ingesteld</w:t>
      </w:r>
      <w:r w:rsidR="008223C0">
        <w:t>;</w:t>
      </w:r>
    </w:p>
    <w:p w14:paraId="2B2246B5" w14:textId="795B54B9" w:rsidR="00DB6EB3" w:rsidRDefault="00DB6EB3" w:rsidP="00DB6EB3">
      <w:pPr>
        <w:pStyle w:val="Opsommingtekens1"/>
      </w:pPr>
      <w:r>
        <w:t>het gegeven dat het besluit, of een deel daarvan, is geschorst</w:t>
      </w:r>
      <w:r w:rsidR="008223C0">
        <w:t>;</w:t>
      </w:r>
    </w:p>
    <w:p w14:paraId="5CFF584F" w14:textId="3FCE28F4" w:rsidR="00DB6EB3" w:rsidRDefault="00DB6EB3" w:rsidP="00DB6EB3">
      <w:pPr>
        <w:pStyle w:val="Opsommingtekens1"/>
      </w:pPr>
      <w:r>
        <w:t>het gegeven dat het besluit, of een deel daarvan, onherroepelijk is geworden</w:t>
      </w:r>
      <w:r w:rsidR="008223C0">
        <w:t>;</w:t>
      </w:r>
    </w:p>
    <w:p w14:paraId="4AEBABE9" w14:textId="6305FA45" w:rsidR="00DB6EB3" w:rsidRDefault="00DB6EB3" w:rsidP="00DB6EB3">
      <w:pPr>
        <w:pStyle w:val="Opsommingtekens1"/>
      </w:pPr>
      <w:r>
        <w:t>het gegeven dat het besluit, of een deel daarvan, is vernietigd</w:t>
      </w:r>
      <w:r w:rsidR="008223C0">
        <w:t>;</w:t>
      </w:r>
    </w:p>
    <w:p w14:paraId="4E2EE1FC" w14:textId="77777777" w:rsidR="00DB6EB3" w:rsidRDefault="00DB6EB3" w:rsidP="00DB6EB3">
      <w:pPr>
        <w:pStyle w:val="Opsommingtekens1"/>
      </w:pPr>
      <w:r>
        <w:t>het gegeven dat het besluit of de andere rechtsfiguur, of een deel daarvan, is ingetrokken.</w:t>
      </w:r>
    </w:p>
    <w:p w14:paraId="77A0604D" w14:textId="77777777" w:rsidR="00DB6EB3" w:rsidRDefault="00DB6EB3" w:rsidP="00DB6EB3"/>
    <w:p w14:paraId="2CEA0F4C" w14:textId="1A23CA66" w:rsidR="00ED0A54" w:rsidRDefault="00DB6EB3" w:rsidP="00DB6EB3">
      <w:commentRangeStart w:id="1273"/>
      <w:r>
        <w:t xml:space="preserve">De </w:t>
      </w:r>
      <w:r w:rsidR="00FD0D9B">
        <w:t>provincie respectievelijk het Rijk</w:t>
      </w:r>
      <w:r>
        <w:t xml:space="preserve"> moet er voor zorgen dat </w:t>
      </w:r>
      <w:r w:rsidR="00FD0D9B">
        <w:t>de instructie</w:t>
      </w:r>
      <w:r>
        <w:t xml:space="preserve"> </w:t>
      </w:r>
      <w:r w:rsidRPr="00F24C93">
        <w:t>in geconsolideerde vorm</w:t>
      </w:r>
      <w:r>
        <w:t xml:space="preserve"> beschikbaar is</w:t>
      </w:r>
      <w:r>
        <w:rPr>
          <w:rStyle w:val="Voetnootmarkering"/>
        </w:rPr>
        <w:footnoteReference w:id="530"/>
      </w:r>
      <w:r>
        <w:t xml:space="preserve"> op de door de minister van BZK </w:t>
      </w:r>
      <w:r w:rsidRPr="00EB6A94">
        <w:t>in stand gehouden digitale infrastructuur</w:t>
      </w:r>
      <w:r>
        <w:rPr>
          <w:rStyle w:val="Voetnootmarkering"/>
        </w:rPr>
        <w:footnoteReference w:id="531"/>
      </w:r>
      <w:r>
        <w:t>: de lokale regelingenbanken op overheid.nl</w:t>
      </w:r>
      <w:r w:rsidR="001F0676">
        <w:t xml:space="preserve">. </w:t>
      </w:r>
      <w:r w:rsidR="001F0676" w:rsidRPr="001F0676">
        <w:t>Dit houdt ook in dat de provincie respectievelijk het Rijk de uitspraak van de bestuursrechter, voor zover die uitspraak gevolgen heeft voor de inhoud daarvan, in de instructie moet verwerken</w:t>
      </w:r>
      <w:r>
        <w:t>.</w:t>
      </w:r>
      <w:commentRangeEnd w:id="1273"/>
      <w:r w:rsidR="00D25C0E">
        <w:rPr>
          <w:rStyle w:val="Verwijzingopmerking"/>
        </w:rPr>
        <w:commentReference w:id="1273"/>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