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4" w:name="_Ref_246bfbf774e3cc51b6dea74ec90a8836_1"/>
      <w:r w:rsidRPr="00B26823">
        <w:t>Nieuw stelsel omgevingsrecht</w:t>
      </w:r>
      <w:bookmarkEnd w:id="4"/>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003F4290" w:rsidRPr="00B4058F">
        <w:t xml:space="preserve">besluiten en andere rechtsfiguren </w:t>
      </w:r>
      <w:r w:rsidRPr="00B26823">
        <w:t>die verschillende bevoegde gezagen in staat stellen besluiten te nemen die ingrijpen in de leefomgeving. De belangrijkste</w:t>
      </w:r>
      <w:r w:rsidR="00F452CD" w:rsidRPr="00B26823">
        <w:t xml:space="preserve"> </w:t>
      </w:r>
      <w:r w:rsidR="003F4290">
        <w:t>instrumenten</w:t>
      </w:r>
      <w:r w:rsidR="003F4290" w:rsidRPr="00B26823">
        <w:t xml:space="preserve"> </w:t>
      </w:r>
      <w:r w:rsidRPr="00B26823">
        <w:t>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