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BDE" w14:textId="38C1DF70" w:rsidR="00E33EDD" w:rsidRPr="00F62F31" w:rsidRDefault="00DE1988" w:rsidP="00805135">
      <w:pPr>
        <w:pStyle w:val="Kop3"/>
      </w:pPr>
      <w:r>
        <w:t>Overgangsrecht en o</w:t>
      </w:r>
      <w:r w:rsidR="00E33EDD" w:rsidRPr="00F62F31">
        <w:t>vergangsfase</w:t>
      </w:r>
      <w:bookmarkEnd w:id="24"/>
    </w:p>
    <w:p w14:paraId="10006BE4" w14:textId="5DEEDE07" w:rsidR="00BD5525" w:rsidRDefault="00D80F28" w:rsidP="00BD5525">
      <w:r w:rsidRPr="00D80F28">
        <w:rPr>
          <w:bCs/>
        </w:rPr>
        <w:t xml:space="preserve">De Invoeringswet Omgevingswet kent alleen overgangsrecht voor </w:t>
      </w:r>
      <w:r w:rsidR="00F57F96">
        <w:rPr>
          <w:bCs/>
        </w:rPr>
        <w:t xml:space="preserve">aanwijzingen </w:t>
      </w:r>
      <w:r w:rsidRPr="00D80F28">
        <w:rPr>
          <w:bCs/>
        </w:rPr>
        <w:t xml:space="preserve">die op grond van de Wet ruimtelijke ordening </w:t>
      </w:r>
      <w:r w:rsidR="00F57F96">
        <w:rPr>
          <w:bCs/>
        </w:rPr>
        <w:t xml:space="preserve">respectievelijk de Waterwet </w:t>
      </w:r>
      <w:r w:rsidRPr="00D80F28">
        <w:rPr>
          <w:bCs/>
        </w:rPr>
        <w:t xml:space="preserve">zijn </w:t>
      </w:r>
      <w:r w:rsidR="00F57F96">
        <w:rPr>
          <w:bCs/>
        </w:rPr>
        <w:t>gegeven</w:t>
      </w:r>
      <w:r w:rsidRPr="00D80F28">
        <w:rPr>
          <w:bCs/>
        </w:rPr>
        <w:t xml:space="preserve">: in bepaalde gevallen blijft het oude recht van toepassing en in andere gevallen wordt zo'n </w:t>
      </w:r>
      <w:r w:rsidR="00A06314">
        <w:rPr>
          <w:bCs/>
        </w:rPr>
        <w:t xml:space="preserve">aanwijzing </w:t>
      </w:r>
      <w:r w:rsidRPr="00D80F28">
        <w:rPr>
          <w:bCs/>
        </w:rPr>
        <w:t xml:space="preserve">gelijkgesteld met een </w:t>
      </w:r>
      <w:r w:rsidR="00F81123" w:rsidRPr="00F81123">
        <w:rPr>
          <w:bCs/>
        </w:rPr>
        <w:t xml:space="preserve">instructie </w:t>
      </w:r>
      <w:r w:rsidRPr="00D80F28">
        <w:rPr>
          <w:bCs/>
        </w:rPr>
        <w:t xml:space="preserve">op grond van de Omgevingswet. Er is geen sprake van een </w:t>
      </w:r>
      <w:r w:rsidR="000F5C00">
        <w:rPr>
          <w:bCs/>
        </w:rPr>
        <w:t xml:space="preserve">in de </w:t>
      </w:r>
      <w:r w:rsidRPr="00D80F28">
        <w:rPr>
          <w:bCs/>
        </w:rPr>
        <w:t xml:space="preserve">wet </w:t>
      </w:r>
      <w:r w:rsidR="00592E10">
        <w:rPr>
          <w:bCs/>
        </w:rPr>
        <w:t xml:space="preserve">vastgelegde </w:t>
      </w:r>
      <w:r w:rsidRPr="00D80F28">
        <w:rPr>
          <w:bCs/>
        </w:rPr>
        <w:t>overgangsfase</w:t>
      </w:r>
      <w:r w:rsidR="006D12C7">
        <w:rPr>
          <w:bCs/>
        </w:rPr>
        <w:t xml:space="preserve"> om te komen van </w:t>
      </w:r>
      <w:r w:rsidR="00A76D46">
        <w:rPr>
          <w:bCs/>
        </w:rPr>
        <w:t xml:space="preserve">proactieve aanwijzing naar </w:t>
      </w:r>
      <w:r w:rsidR="008051EE" w:rsidRPr="008051EE">
        <w:rPr>
          <w:bCs/>
        </w:rPr>
        <w:t>instructie</w:t>
      </w:r>
      <w:r w:rsidRPr="00D80F28">
        <w:rPr>
          <w:bCs/>
        </w:rP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