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14BA0D5B" w:rsidR="003D5A24" w:rsidRPr="007B60F8" w:rsidRDefault="003D5A24">
      <w:r w:rsidRPr="007B60F8">
        <w:t xml:space="preserve">Het bevoegd gezag levert via het digitale kanaal het digitale besluit aan via het bronhouderskoppelvlak. Het digitale besluit bestaat uit een generiek formeel deel met daarin de artikelen </w:t>
      </w:r>
      <w:r w:rsidR="003F4290" w:rsidRPr="007B60F8">
        <w:t xml:space="preserve">c.q. beleidstekst </w:t>
      </w:r>
      <w:r w:rsidRPr="007B60F8">
        <w:t xml:space="preserve">en </w:t>
      </w:r>
      <w:r w:rsidR="003F4290">
        <w:t xml:space="preserve">geografische informatieobjecten (verder afgekort tot GIO, zie hiervoor paragraaf </w:t>
      </w:r>
      <w:r w:rsidR="003F4290" w:rsidRPr="00DB219A">
        <w:rPr>
          <w:rStyle w:val="Verwijzing"/>
        </w:rPr>
        <w:fldChar w:fldCharType="begin"/>
      </w:r>
      <w:r w:rsidR="003F4290" w:rsidRPr="00DB219A">
        <w:rPr>
          <w:rStyle w:val="Verwijzing"/>
        </w:rPr>
        <w:instrText xml:space="preserve"> REF _Ref_218c752b0c849656162b20725eb2e115_1 \n \h </w:instrText>
      </w:r>
      <w:r w:rsidR="003F4290" w:rsidRPr="00DB219A">
        <w:rPr>
          <w:rStyle w:val="Verwijzing"/>
        </w:rPr>
      </w:r>
      <w:r w:rsidR="003F4290" w:rsidRPr="00DB219A">
        <w:rPr>
          <w:rStyle w:val="Verwijzing"/>
        </w:rPr>
        <w:fldChar w:fldCharType="separate"/>
      </w:r>
      <w:r w:rsidR="00A269C9">
        <w:rPr>
          <w:rStyle w:val="Verwijzing"/>
        </w:rPr>
        <w:t>6.1.2.2</w:t>
      </w:r>
      <w:r w:rsidR="003F4290" w:rsidRPr="00DB219A">
        <w:rPr>
          <w:rStyle w:val="Verwijzing"/>
        </w:rPr>
        <w:fldChar w:fldCharType="end"/>
      </w:r>
      <w:r w:rsidR="003F4290">
        <w:t xml:space="preserve">) </w:t>
      </w:r>
      <w:r w:rsidRPr="007B60F8">
        <w:t>en een Omgevingswetdeel met specifieke objecten vanuit dit domein</w:t>
      </w:r>
      <w:r w:rsidR="003F4290">
        <w:t xml:space="preserve"> </w:t>
      </w:r>
      <w:r w:rsidR="003F4290" w:rsidRPr="0008178B">
        <w:t xml:space="preserve">(verder: </w:t>
      </w:r>
      <w:r w:rsidR="003F4290">
        <w:t>OW-objecten</w:t>
      </w:r>
      <w:r w:rsidR="003F4290" w:rsidRPr="0008178B">
        <w:t>, zie hiervoor</w:t>
      </w:r>
      <w:r w:rsidR="003F4290">
        <w:t xml:space="preserve"> hoofdstuk </w:t>
      </w:r>
      <w:r w:rsidR="003F4290" w:rsidRPr="00DB219A">
        <w:rPr>
          <w:rStyle w:val="Verwijzing"/>
        </w:rPr>
        <w:fldChar w:fldCharType="begin"/>
      </w:r>
      <w:r w:rsidR="003F4290" w:rsidRPr="00DB219A">
        <w:rPr>
          <w:rStyle w:val="Verwijzing"/>
        </w:rPr>
        <w:instrText xml:space="preserve"> REF _Ref_a9569fc8919c2559401545e245d54cbc_1 \n \h </w:instrText>
      </w:r>
      <w:r w:rsidR="003F4290" w:rsidRPr="00DB219A">
        <w:rPr>
          <w:rStyle w:val="Verwijzing"/>
        </w:rPr>
      </w:r>
      <w:r w:rsidR="003F4290" w:rsidRPr="00DB219A">
        <w:rPr>
          <w:rStyle w:val="Verwijzing"/>
        </w:rPr>
        <w:fldChar w:fldCharType="separate"/>
      </w:r>
      <w:r w:rsidR="00A269C9">
        <w:rPr>
          <w:rStyle w:val="Verwijzing"/>
        </w:rPr>
        <w:t>7</w:t>
      </w:r>
      <w:r w:rsidR="003F4290" w:rsidRPr="00DB219A">
        <w:rPr>
          <w:rStyle w:val="Verwijzing"/>
        </w:rPr>
        <w:fldChar w:fldCharType="end"/>
      </w:r>
      <w:r w:rsidR="00482D0C">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3F4290">
        <w:t>OW-object</w:t>
      </w:r>
      <w:r w:rsidRPr="007B60F8">
        <w:t>en worden gedistribueerd naar DSO-LV ten behoeve van het Omgevingsloket.</w:t>
      </w:r>
    </w:p>
    <w:p w14:paraId="0CD6F32E" w14:textId="361AEFCD" w:rsidR="003D5A24" w:rsidRPr="00B26823" w:rsidRDefault="003F4290">
      <w:pPr>
        <w:pStyle w:val="Figuur"/>
      </w:pPr>
      <w:r>
        <w:rPr>
          <w:noProof/>
        </w:rPr>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5"/>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5"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