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BE25E5" w:rsidRPr="00F03DD9" w:rsidRDefault="003F4290" w:rsidP="00BE25E5">
      <w:pPr>
        <w:pStyle w:val="Kop1"/>
      </w:pPr>
      <w:bookmarkStart w:id="214" w:name="_Ref_35feee3eca2202f09a966453fad75ad7_1"/>
      <w:r w:rsidRPr="00F03DD9">
        <w:lastRenderedPageBreak/>
        <w:t>Aspecten van de aanlevering</w:t>
      </w:r>
      <w:bookmarkEnd w:id="214"/>
    </w:p>
    <w:p w14:paraId="0AF9CADF" w14:textId="5F6E9F13" w:rsidR="00BE25E5" w:rsidRDefault="003F4290" w:rsidP="00BE25E5">
      <w:r w:rsidRPr="00F03DD9">
        <w:t>In dit deel worden vier aanleveringsaspecten beschreven: de identificatie van Regelingversies van omgevingsdocumenten door middel van Doel</w:t>
      </w:r>
      <w:r>
        <w:t xml:space="preserve"> (paragraaf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_Ref_c0c51718f5bb7d3fb9ba3a139e48f985_1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9.1</w:t>
      </w:r>
      <w:r w:rsidRPr="00DB219A">
        <w:rPr>
          <w:rStyle w:val="Verwijzing"/>
        </w:rPr>
        <w:fldChar w:fldCharType="end"/>
      </w:r>
      <w:r>
        <w:t xml:space="preserve">) </w:t>
      </w:r>
      <w:r w:rsidRPr="00F03DD9">
        <w:t xml:space="preserve">het aangeven van de procedurestatus van een besluit tot vaststelling of wijziging van omgevingsdocumenten en de doorwerking daarvan in de geconsolideerde Regeling </w:t>
      </w:r>
      <w:r w:rsidRPr="00E22843">
        <w:t xml:space="preserve">(paragraaf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_Ref_60e3d6b784e1fbe4aa40aca353b44044_1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9.2</w:t>
      </w:r>
      <w:r w:rsidRPr="00DB219A">
        <w:rPr>
          <w:rStyle w:val="Verwijzing"/>
        </w:rPr>
        <w:fldChar w:fldCharType="end"/>
      </w:r>
      <w:r w:rsidRPr="00E22843">
        <w:t>)</w:t>
      </w:r>
      <w:r>
        <w:t xml:space="preserve"> </w:t>
      </w:r>
      <w:r w:rsidRPr="00F03DD9">
        <w:t xml:space="preserve">en tot slot het muteren van </w:t>
      </w:r>
      <w:r>
        <w:t>OW-object</w:t>
      </w:r>
      <w:r w:rsidRPr="00F03DD9">
        <w:t>en</w:t>
      </w:r>
      <w:r>
        <w:t xml:space="preserve"> </w:t>
      </w:r>
      <w:r w:rsidRPr="00E22843">
        <w:t xml:space="preserve">(paragraaf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_Ref_6947a34764496fea66884b5c0db5ac00_2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9.3</w:t>
      </w:r>
      <w:r w:rsidRPr="00DB219A">
        <w:rPr>
          <w:rStyle w:val="Verwijzing"/>
        </w:rPr>
        <w:fldChar w:fldCharType="end"/>
      </w:r>
      <w:r w:rsidRPr="00E22843">
        <w:t>)</w:t>
      </w:r>
      <w:r w:rsidRPr="00F03DD9">
        <w:t>.</w:t>
      </w:r>
    </w:p>
    <w:p w14:paraId="6B077EA7" w14:textId="7FA07F05" w:rsidR="00AC7682" w:rsidRPr="00F03DD9" w:rsidRDefault="00AC7682" w:rsidP="00BE25E5">
      <w:r>
        <w:t xml:space="preserve">In hoofdstuk </w:t>
      </w:r>
      <w:r w:rsidR="00E54BBD" w:rsidRPr="00DB219A">
        <w:rPr>
          <w:rStyle w:val="Verwijzing"/>
        </w:rPr>
        <w:fldChar w:fldCharType="begin"/>
      </w:r>
      <w:r w:rsidR="00E54BBD" w:rsidRPr="00DB219A">
        <w:rPr>
          <w:rStyle w:val="Verwijzing"/>
        </w:rPr>
        <w:instrText xml:space="preserve"> REF _Ref_ae461559ad38cb41796c8531a5a9a355_2 \n \h </w:instrText>
      </w:r>
      <w:r w:rsidR="00E54BBD" w:rsidRPr="00DB219A">
        <w:rPr>
          <w:rStyle w:val="Verwijzing"/>
        </w:rPr>
      </w:r>
      <w:r w:rsidR="00E54BBD" w:rsidRPr="00DB219A">
        <w:rPr>
          <w:rStyle w:val="Verwijzing"/>
        </w:rPr>
        <w:fldChar w:fldCharType="separate"/>
      </w:r>
      <w:r w:rsidR="00A269C9">
        <w:rPr>
          <w:rStyle w:val="Verwijzing"/>
        </w:rPr>
        <w:t>10</w:t>
      </w:r>
      <w:r w:rsidR="00E54BBD" w:rsidRPr="00DB219A">
        <w:rPr>
          <w:rStyle w:val="Verwijzing"/>
        </w:rPr>
        <w:fldChar w:fldCharType="end"/>
      </w:r>
      <w:r>
        <w:t xml:space="preserve"> tot slot wordt het mutatiescenario Integrale tekstvervanging beschreven en wordt toegelicht wanneer dit scenario gebruikt mag worden.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