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117" w:name="_Ref_d620618e574c430be31ade5cc4c06cf0_1"/>
      <w:bookmarkStart w:id="118" w:name="_Ref_d620618e574c430be31ade5cc4c06cf0_2"/>
      <w:bookmarkStart w:id="119" w:name="_Ref_d620618e574c430be31ade5cc4c06cf0_3"/>
      <w:bookmarkStart w:id="121" w:name="_Ref_d620618e574c430be31ade5cc4c06cf0_4"/>
      <w:r w:rsidRPr="007B60F8">
        <w:t>Specificatie van de Artikelstructuur</w:t>
      </w:r>
      <w:bookmarkEnd w:id="117"/>
      <w:bookmarkEnd w:id="118"/>
      <w:bookmarkEnd w:id="119"/>
      <w:bookmarkEnd w:id="121"/>
    </w:p>
    <w:p w14:paraId="680B0B0B" w14:textId="11AB94D8"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_Ref_822ed09600855c5ac22da8c47916c078_1 \n \h </w:instrText>
      </w:r>
      <w:r w:rsidR="00355289" w:rsidRPr="00863F41">
        <w:rPr>
          <w:rStyle w:val="Verwijzing"/>
        </w:rPr>
      </w:r>
      <w:r w:rsidR="00355289" w:rsidRPr="00863F41">
        <w:rPr>
          <w:rStyle w:val="Verwijzing"/>
        </w:rPr>
        <w:fldChar w:fldCharType="separate"/>
      </w:r>
      <w:r w:rsidR="00812E0F">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18"/>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w:t>
      </w:r>
      <w:r w:rsidRPr="007B60F8">
        <w:lastRenderedPageBreak/>
        <w:t xml:space="preserve">Artikelstructuur en de toepassing van die specificaties voor </w:t>
      </w:r>
      <w:r w:rsidRPr="007B60F8">
        <w:fldChar w:fldCharType="begin"/>
      </w:r>
      <w:r w:rsidRPr="007B60F8">
        <w:instrText>DOCVARIABLE ID01+</w:instrText>
      </w:r>
      <w:r w:rsidRPr="007B60F8">
        <w:fldChar w:fldCharType="separate"/>
      </w:r>
      <w:r w:rsidR="00812E0F">
        <w:t>het omgevingsplan</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