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176" w:name="_Ref_b5ff31273c3349ed931948aab298b40a_1"/>
      <w:r>
        <w:lastRenderedPageBreak/>
        <w:t>Annoteren met</w:t>
      </w:r>
      <w:r w:rsidR="00F85ACD">
        <w:t xml:space="preserve"> </w:t>
      </w:r>
      <w:r w:rsidR="00ED1B61">
        <w:t>OW-object</w:t>
      </w:r>
      <w:r w:rsidR="00F85ACD">
        <w:t>en: productmodel, objecten en attributen</w:t>
      </w:r>
      <w:bookmarkEnd w:id="176"/>
    </w:p>
    <w:p w14:paraId="4BF8AC4F" w14:textId="79737F62"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812E0F">
        <w:t>het omgevingsplan</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_Ref_d813c48752c8b0ed183579fa7632782d_1 \r \h </w:instrText>
      </w:r>
      <w:r w:rsidR="008E1D91" w:rsidRPr="00863F41">
        <w:rPr>
          <w:rStyle w:val="Verwijzing"/>
        </w:rPr>
      </w:r>
      <w:r w:rsidR="008E1D91" w:rsidRPr="00863F41">
        <w:rPr>
          <w:rStyle w:val="Verwijzing"/>
        </w:rPr>
        <w:fldChar w:fldCharType="separate"/>
      </w:r>
      <w:r w:rsidR="00812E0F">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812E0F">
        <w:t>het omgevingsplan</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812E0F">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812E0F">
        <w:rPr>
          <w:rStyle w:val="Verwijzing"/>
        </w:rPr>
        <w:t>7.10</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812E0F">
        <w:t>het omgevingsplan</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40272AA8" w14:textId="1CEE4D8A" w:rsidR="00BB2C76" w:rsidRPr="00714E77" w:rsidRDefault="00BB2C76" w:rsidP="00C13720">
      <w:r>
        <w:t xml:space="preserve">In paragraaf </w:t>
      </w:r>
      <w:r w:rsidR="00FC1142">
        <w:fldChar w:fldCharType="begin"/>
      </w:r>
      <w:r w:rsidR="00FC1142">
        <w:instrText xml:space="preserve"> REF _Ref_527560df15745f6c81f4547af99d8afa_1 \n \h </w:instrText>
      </w:r>
      <w:r w:rsidR="00FC1142">
        <w:fldChar w:fldCharType="separate"/>
      </w:r>
      <w:r w:rsidR="00FC1142">
        <w:t>8.3</w:t>
      </w:r>
      <w:r w:rsidR="00FC1142">
        <w:fldChar w:fldCharType="end"/>
      </w:r>
      <w:r>
        <w:t xml:space="preserve"> is beschreven hoe het wijzigen van OW-objecten werkt.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