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718C" w14:textId="320F8DAF" w:rsidR="007018C0" w:rsidRDefault="00DC7AAC" w:rsidP="00DC7AAC">
      <w:pPr>
        <w:pStyle w:val="Kop5"/>
      </w:pPr>
      <w:bookmarkStart w:id="235" w:name="_Ref_1da63897371d3a4f1bf4e0f1b4fb7f8d_1"/>
      <w:bookmarkStart w:id="236" w:name="_Ref_1da63897371d3a4f1bf4e0f1b4fb7f8d_2"/>
      <w:r w:rsidRPr="003E2155">
        <w:t xml:space="preserve">Specifieke </w:t>
      </w:r>
      <w:r>
        <w:t xml:space="preserve">norm voor </w:t>
      </w:r>
      <w:r w:rsidRPr="003E2155">
        <w:t>de bovenliggendeActiviteit-relatie</w:t>
      </w:r>
      <w:bookmarkEnd w:id="235"/>
      <w:bookmarkEnd w:id="236"/>
    </w:p>
    <w:p w14:paraId="51A0C3F1" w14:textId="6345D290" w:rsidR="00DC7AAC" w:rsidRDefault="00DC7AAC" w:rsidP="00DC7AAC">
      <w:pPr>
        <w:pStyle w:val="Opsommingtekens1"/>
      </w:pPr>
      <w:r>
        <w:t xml:space="preserve">Voor omgevingsverordening, waterschapsverordening en omgevingsplan geldt, in afwijking van het bepaalde in paragraaf </w:t>
      </w:r>
      <w:r>
        <w:fldChar w:fldCharType="begin"/>
      </w:r>
      <w:r>
        <w:instrText xml:space="preserve"> REF _Ref_2d38f111072c3fcc429d7079638bbf28_1 \n \h </w:instrText>
      </w:r>
      <w:r>
        <w:fldChar w:fldCharType="separate"/>
      </w:r>
      <w:r w:rsidR="00812E0F">
        <w:t>7.15.2.1</w:t>
      </w:r>
      <w:r>
        <w:fldChar w:fldCharType="end"/>
      </w:r>
      <w:r>
        <w:t xml:space="preserve">, dat de relatie </w:t>
      </w:r>
      <w:r w:rsidRPr="00C37E69">
        <w:rPr>
          <w:i/>
          <w:iCs/>
        </w:rPr>
        <w:t>bovenliggendeActiviteit</w:t>
      </w:r>
      <w:r>
        <w:t xml:space="preserve"> van een Activiteit niet zijnde de tophaak uitsluitend mag verwijzen naar een andere Activiteit die hoort bij dezelfde Regeling.</w:t>
      </w:r>
    </w:p>
    <w:p w14:paraId="1F89DC07" w14:textId="7D714CCA" w:rsidR="00DC7AAC" w:rsidRDefault="00DC7AAC" w:rsidP="00DC7AAC">
      <w:pPr>
        <w:pStyle w:val="Opsommingtekens1"/>
      </w:pPr>
      <w:r w:rsidRPr="0042265E">
        <w:t xml:space="preserve">Voor de relatie </w:t>
      </w:r>
      <w:r w:rsidRPr="00C37E69">
        <w:rPr>
          <w:i/>
          <w:iCs/>
        </w:rPr>
        <w:t>bovenliggendeActiviteit</w:t>
      </w:r>
      <w:r w:rsidRPr="0042265E">
        <w:t xml:space="preserve"> van de tophaken geldt</w:t>
      </w:r>
      <w:r>
        <w:t xml:space="preserve">, in afwijking van het bepaalde in paragraaf </w:t>
      </w:r>
      <w:r>
        <w:fldChar w:fldCharType="begin"/>
      </w:r>
      <w:r>
        <w:instrText xml:space="preserve"> REF _Ref_2d38f111072c3fcc429d7079638bbf28_1 \n \h </w:instrText>
      </w:r>
      <w:r>
        <w:fldChar w:fldCharType="separate"/>
      </w:r>
      <w:r w:rsidR="00812E0F">
        <w:t>7.15.2.1</w:t>
      </w:r>
      <w:r>
        <w:fldChar w:fldCharType="end"/>
      </w:r>
      <w:r>
        <w:t>,</w:t>
      </w:r>
      <w:r w:rsidRPr="0042265E">
        <w:t xml:space="preserve"> het volgende:</w:t>
      </w:r>
    </w:p>
    <w:p w14:paraId="06CACC77" w14:textId="77777777" w:rsidR="00DC7AAC" w:rsidRDefault="00DC7AAC" w:rsidP="00DC7AAC">
      <w:pPr>
        <w:pStyle w:val="Opsommingtekens2"/>
      </w:pPr>
      <w:r>
        <w:t xml:space="preserve">in de </w:t>
      </w:r>
      <w:r w:rsidRPr="001F7785">
        <w:t>omgevingsverordening</w:t>
      </w:r>
      <w:r>
        <w:t xml:space="preserve"> moet d</w:t>
      </w:r>
      <w:r w:rsidRPr="001F7785">
        <w:t xml:space="preserve">e relatie </w:t>
      </w:r>
      <w:r w:rsidRPr="00C37E69">
        <w:rPr>
          <w:i/>
          <w:iCs/>
        </w:rPr>
        <w:t>bovenliggendeActiviteit</w:t>
      </w:r>
      <w:r w:rsidRPr="001F7785">
        <w:t xml:space="preserve"> van de tophaak</w:t>
      </w:r>
      <w:r>
        <w:t xml:space="preserve"> </w:t>
      </w:r>
      <w:r w:rsidRPr="001F7785">
        <w:t xml:space="preserve">verwijzen naar de ‘Activiteit gereguleerd in de omgevingsverordening’ in de </w:t>
      </w:r>
      <w:r>
        <w:t>P</w:t>
      </w:r>
      <w:r w:rsidRPr="001F7785">
        <w:t>laceholder</w:t>
      </w:r>
      <w:r>
        <w:t>-Regeling</w:t>
      </w:r>
      <w:r>
        <w:rPr>
          <w:rStyle w:val="Voetnootmarkering"/>
        </w:rPr>
        <w:footnoteReference w:id="21"/>
      </w:r>
      <w:r>
        <w:t>;</w:t>
      </w:r>
    </w:p>
    <w:p w14:paraId="2D12B57E" w14:textId="77777777" w:rsidR="00DC7AAC" w:rsidRDefault="00DC7AAC" w:rsidP="00DC7AAC">
      <w:pPr>
        <w:pStyle w:val="Opsommingtekens2"/>
      </w:pPr>
      <w:r>
        <w:t xml:space="preserve">in </w:t>
      </w:r>
      <w:r w:rsidRPr="003B4348">
        <w:t xml:space="preserve">de waterschapsverordening </w:t>
      </w:r>
      <w:r>
        <w:t>moet</w:t>
      </w:r>
      <w:r w:rsidRPr="003B4348">
        <w:t xml:space="preserve"> de relatie </w:t>
      </w:r>
      <w:r w:rsidRPr="00C37E69">
        <w:rPr>
          <w:i/>
          <w:iCs/>
        </w:rPr>
        <w:t>bovenliggendeActiviteit</w:t>
      </w:r>
      <w:r w:rsidRPr="003B4348">
        <w:t xml:space="preserve"> van de tophaak moet verwijzen naar de ‘Activiteit gereguleerd in de waterschapsverordening’ in de </w:t>
      </w:r>
      <w:r>
        <w:t>P</w:t>
      </w:r>
      <w:r w:rsidRPr="003B4348">
        <w:t>laceholder</w:t>
      </w:r>
      <w:r w:rsidRPr="00320267">
        <w:t>-Regeling</w:t>
      </w:r>
      <w:r>
        <w:t>;</w:t>
      </w:r>
    </w:p>
    <w:p w14:paraId="41C96875" w14:textId="77777777" w:rsidR="00DC7AAC" w:rsidRDefault="00DC7AAC" w:rsidP="00DC7AAC">
      <w:pPr>
        <w:pStyle w:val="Opsommingtekens2"/>
      </w:pPr>
      <w:r>
        <w:t xml:space="preserve">in </w:t>
      </w:r>
      <w:r w:rsidRPr="009B43A1">
        <w:t xml:space="preserve">het omgevingsplan </w:t>
      </w:r>
      <w:r>
        <w:t>moet</w:t>
      </w:r>
      <w:r w:rsidRPr="003B4348">
        <w:t xml:space="preserve"> de relatie </w:t>
      </w:r>
      <w:r w:rsidRPr="00C37E69">
        <w:rPr>
          <w:i/>
          <w:iCs/>
        </w:rPr>
        <w:t>bovenliggendeActiviteit</w:t>
      </w:r>
      <w:r w:rsidRPr="003B4348">
        <w:t xml:space="preserve"> van de tophaak moet verwijzen naar de ‘Activiteit gereguleerd in </w:t>
      </w:r>
      <w:r w:rsidRPr="009B43A1">
        <w:t>het omgevingsplan</w:t>
      </w:r>
      <w:r w:rsidRPr="003B4348">
        <w:t xml:space="preserve">’ in de </w:t>
      </w:r>
      <w:r>
        <w:t>P</w:t>
      </w:r>
      <w:r w:rsidRPr="003B4348">
        <w:t>laceholder</w:t>
      </w:r>
      <w:r w:rsidRPr="00320267">
        <w:t>-Regeling</w:t>
      </w:r>
      <w:r>
        <w:t>;</w:t>
      </w:r>
    </w:p>
    <w:p w14:paraId="66B9277E" w14:textId="77777777" w:rsidR="00DC7AAC" w:rsidRDefault="00DC7AAC" w:rsidP="00DC7AAC">
      <w:pPr>
        <w:pStyle w:val="Opsommingtekens2"/>
      </w:pPr>
      <w:r>
        <w:t xml:space="preserve">in AMvB en ministeriële regeling mag de relatie </w:t>
      </w:r>
      <w:r w:rsidRPr="00C37E69">
        <w:rPr>
          <w:i/>
          <w:iCs/>
        </w:rPr>
        <w:t>bovenliggendeActiviteit</w:t>
      </w:r>
      <w:r>
        <w:t xml:space="preserve"> van een Activiteit uitsluitend verwijzen naar de ‘Activiteit gereguleerd bij AMvB’ of naar een andere Activiteit die hoort bij de Placeholder</w:t>
      </w:r>
      <w:r w:rsidRPr="00320267">
        <w:t>-Regeling</w:t>
      </w:r>
      <w:r>
        <w:t>, bij een AMvB of bij een ministeriële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