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Ook moet vastgelegd 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lastRenderedPageBreak/>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1A6A3E1C"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812E0F">
        <w:t>het omgevingsplan</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1882FAED"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_Ref_8930124370afff749d712d9f246e61cb_2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812E0F">
        <w:rPr>
          <w:rStyle w:val="Verwijzing"/>
        </w:rPr>
        <w:t>Figuur 46</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_Ref_8930124370afff749d712d9f246e61cb_1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812E0F">
        <w:rPr>
          <w:rStyle w:val="Verwijzing"/>
        </w:rPr>
        <w:t>7.8.1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is wel 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standaardweergave worden weergegeven op een kaart.</w:t>
      </w:r>
      <w:r w:rsidR="0030595B" w:rsidRPr="00F1426F">
        <w:t xml:space="preserve"> Het is dan mogelijk om een </w:t>
      </w:r>
      <w:r w:rsidR="008C1F1B">
        <w:lastRenderedPageBreak/>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14119B71"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_Ref_e497210f3fb04f3a2531441d73a24e5b_1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812E0F">
        <w:rPr>
          <w:rStyle w:val="Verwijzing"/>
        </w:rPr>
        <w:t>7.7.5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40D3BDFC"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812E0F">
        <w:rPr>
          <w:rStyle w:val="Verwijzing"/>
        </w:rPr>
        <w:t>7.3</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38E62B8D"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812E0F">
        <w:t>het omgevingsplan</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