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A499" w14:textId="77777777" w:rsidR="00046669" w:rsidRPr="007F28B9" w:rsidRDefault="00046669" w:rsidP="00046669">
      <w:pPr>
        <w:pStyle w:val="Kop4"/>
      </w:pPr>
      <w:r w:rsidRPr="007F28B9">
        <w:t>Norm</w:t>
      </w:r>
    </w:p>
    <w:p w14:paraId="770D5FD7" w14:textId="687EF991" w:rsidR="00046669" w:rsidRPr="00B26823" w:rsidRDefault="00CE4C68" w:rsidP="00046669">
      <w:pPr>
        <w:pStyle w:val="Figuur"/>
      </w:pPr>
      <w:r w:rsidRPr="00CE4C68">
        <w:rPr>
          <w:noProof/>
        </w:rPr>
        <w:drawing>
          <wp:inline distT="0" distB="0" distL="0" distR="0" wp14:anchorId="5D55D87F" wp14:editId="6A3916B3">
            <wp:extent cx="5400040" cy="1452880"/>
            <wp:effectExtent l="0" t="0" r="0" b="0"/>
            <wp:docPr id="1014046945" name="Graphic 101404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96DAC541-7B7A-43D3-8B79-37D633B846F1}">
                          <asvg:svgBlip xmlns:asvg="http://schemas.microsoft.com/office/drawing/2016/SVG/main" r:embed="rId83"/>
                        </a:ext>
                      </a:extLst>
                    </a:blip>
                    <a:stretch>
                      <a:fillRect/>
                    </a:stretch>
                  </pic:blipFill>
                  <pic:spPr>
                    <a:xfrm>
                      <a:off x="0" y="0"/>
                      <a:ext cx="5400040" cy="1452880"/>
                    </a:xfrm>
                    <a:prstGeom prst="rect">
                      <a:avLst/>
                    </a:prstGeom>
                  </pic:spPr>
                </pic:pic>
              </a:graphicData>
            </a:graphic>
          </wp:inline>
        </w:drawing>
      </w:r>
    </w:p>
    <w:p w14:paraId="5722A846" w14:textId="77777777" w:rsidR="00046669" w:rsidRPr="007F28B9" w:rsidRDefault="00046669" w:rsidP="00046669">
      <w:pPr>
        <w:pStyle w:val="Figuurbijschrift"/>
      </w:pPr>
      <w:r w:rsidRPr="007F28B9">
        <w:t>Uitsnede uit IMOW-diagram voor objecttype Pons</w:t>
      </w:r>
    </w:p>
    <w:p w14:paraId="4D4E2A83" w14:textId="3E3A8D24" w:rsidR="00030D6F" w:rsidRPr="007F28B9" w:rsidRDefault="00046669" w:rsidP="00046669">
      <w:r w:rsidRPr="007F28B9">
        <w:t xml:space="preserve">Het object Pons dient te worden aangeleverd </w:t>
      </w:r>
      <w:r w:rsidR="00F32CB9">
        <w:t>bij de eerste keer dat</w:t>
      </w:r>
      <w:r w:rsidR="00F32CB9" w:rsidRPr="007F28B9">
        <w:t xml:space="preserve"> </w:t>
      </w:r>
      <w:r w:rsidRPr="007F28B9">
        <w:t xml:space="preserve">het bevoegd gezag een besluit tot vaststelling of wijziging van het omgevingsplan heeft genomen waardoor één of meer </w:t>
      </w:r>
      <w:r w:rsidR="00FC70F1">
        <w:t xml:space="preserve">ruimtelijke plannen </w:t>
      </w:r>
      <w:r w:rsidR="00C50BDB">
        <w:t xml:space="preserve">of één of meer </w:t>
      </w:r>
      <w:r w:rsidRPr="007F28B9">
        <w:t xml:space="preserve">delen </w:t>
      </w:r>
      <w:r w:rsidR="00C50BDB">
        <w:t>daar</w:t>
      </w:r>
      <w:r w:rsidRPr="007F28B9">
        <w:t xml:space="preserve">van </w:t>
      </w:r>
      <w:r w:rsidR="00055C3E">
        <w:t xml:space="preserve">die </w:t>
      </w:r>
      <w:r w:rsidRPr="007F28B9">
        <w:t xml:space="preserve">in de overbruggingsfunctie aanwezig </w:t>
      </w:r>
      <w:r w:rsidR="00F32CB9">
        <w:t>zijn</w:t>
      </w:r>
      <w:r w:rsidRPr="007F28B9">
        <w:t xml:space="preserve">, zijn vervallen: alle bestemmingen, aanduidingen en regels die in dat </w:t>
      </w:r>
      <w:r w:rsidR="00551673">
        <w:t>ruimtelijke plan</w:t>
      </w:r>
      <w:r w:rsidR="00551673" w:rsidRPr="007F28B9">
        <w:t xml:space="preserve"> </w:t>
      </w:r>
      <w:r w:rsidRPr="007F28B9">
        <w:t xml:space="preserve">of delen </w:t>
      </w:r>
      <w:r w:rsidR="00C717CB">
        <w:t xml:space="preserve">daarvan </w:t>
      </w:r>
      <w:r w:rsidRPr="007F28B9">
        <w:t xml:space="preserve">van toepassing waren, zijn vervallen. De overbruggingsfunctie hoeft </w:t>
      </w:r>
      <w:r w:rsidR="00551673">
        <w:t>daar waar die ruimtelijke plannen zijn vervallen,</w:t>
      </w:r>
      <w:r w:rsidR="00F509A3">
        <w:t xml:space="preserve"> die plannen </w:t>
      </w:r>
      <w:r w:rsidRPr="007F28B9">
        <w:t>niet meer te tonen.</w:t>
      </w:r>
      <w:r w:rsidR="00F32CB9">
        <w:t xml:space="preserve"> Bij ieder volgend wijzigingsbesluit </w:t>
      </w:r>
      <w:r w:rsidR="00F32CB9" w:rsidRPr="00F32CB9">
        <w:t xml:space="preserve">waardoor één of meer </w:t>
      </w:r>
      <w:r w:rsidR="00893D11">
        <w:t xml:space="preserve">ruimtelijke </w:t>
      </w:r>
      <w:r w:rsidR="00893D11" w:rsidRPr="00F32CB9">
        <w:t xml:space="preserve">plannen </w:t>
      </w:r>
      <w:r w:rsidR="00F32CB9" w:rsidRPr="00F32CB9">
        <w:t>of één of meer delen daarvan</w:t>
      </w:r>
      <w:r w:rsidR="00F32CB9">
        <w:t xml:space="preserve"> vervallen, wordt het Pons-object gemuteerd.</w:t>
      </w:r>
    </w:p>
    <w:p w14:paraId="4579C08B" w14:textId="4AC1B124" w:rsidR="00046669" w:rsidRPr="007F28B9" w:rsidRDefault="00046669" w:rsidP="00046669"/>
    <w:p w14:paraId="6ADC7287" w14:textId="77777777" w:rsidR="00046669" w:rsidRPr="007F28B9" w:rsidRDefault="00046669" w:rsidP="00046669">
      <w:r w:rsidRPr="007F28B9">
        <w:t>Pons kent de volgende attributen:</w:t>
      </w:r>
    </w:p>
    <w:p w14:paraId="2622A3AC" w14:textId="16E23AF8" w:rsidR="00046669" w:rsidRPr="007F28B9" w:rsidRDefault="00046669" w:rsidP="00046669">
      <w:pPr>
        <w:pStyle w:val="Opsommingtekens1"/>
      </w:pPr>
      <w:r w:rsidRPr="007F28B9">
        <w:rPr>
          <w:i/>
          <w:iCs/>
        </w:rPr>
        <w:t>identificatie</w:t>
      </w:r>
      <w:r w:rsidRPr="007F28B9">
        <w:t>: de unieke identificatie waaronder elk object van dit type bekend is. Identificatie conform datatype NEN3610-ID. Verplicht attribuut. Komt 1 keer voor.</w:t>
      </w:r>
      <w:r w:rsidR="00325924">
        <w:t xml:space="preserve"> </w:t>
      </w:r>
      <w:r w:rsidR="00325924" w:rsidRPr="001E456D">
        <w:t xml:space="preserve">De identificatie moet de code (uit de STOP-waardelijst voor gemeente, waterschap, provincie </w:t>
      </w:r>
      <w:r w:rsidR="00325924">
        <w:t>of ministerie)</w:t>
      </w:r>
      <w:r w:rsidR="00325924" w:rsidRPr="001E456D">
        <w:t xml:space="preserve"> bevatten van het bevoegd gezag dat het besluit neemt waarmee de Regeling wordt ingesteld of gewijzigd.</w:t>
      </w:r>
    </w:p>
    <w:p w14:paraId="19EDD66D" w14:textId="77777777" w:rsidR="00046669" w:rsidRPr="007F28B9" w:rsidRDefault="00046669" w:rsidP="00046669">
      <w:pPr>
        <w:pStyle w:val="Opsommingtekens1"/>
      </w:pPr>
      <w:r w:rsidRPr="007F28B9">
        <w:rPr>
          <w:i/>
        </w:rPr>
        <w:t>locatieaanduiding</w:t>
      </w:r>
      <w:r w:rsidRPr="007F28B9">
        <w:t>: de verwijzing van een Pons naar (de identificatie van) de bijbehorende Locatie; attribuut dat de specifieke Locatie aanduidt waar deze Pons van toepassing is. Verplicht attribuut. Komt 1 keer voor.</w:t>
      </w:r>
    </w:p>
    <w:p w14:paraId="5447DE60" w14:textId="77777777" w:rsidR="00046669" w:rsidRPr="007F28B9" w:rsidRDefault="00046669" w:rsidP="00046669"/>
    <w:p w14:paraId="642AED5A" w14:textId="77777777" w:rsidR="00046669" w:rsidRPr="007F28B9" w:rsidRDefault="00046669" w:rsidP="00046669">
      <w:r w:rsidRPr="007F28B9">
        <w:t>Pons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2" Type="http://schemas.openxmlformats.org/officeDocument/2006/relationships/image" Target="media/image_01db9ff41cf40ae9af4b2ec8cd2eaa2f.png"/><Relationship Id="rId83" Type="http://schemas.openxmlformats.org/officeDocument/2006/relationships/image" Target="media/image_75ee5fd9c3e8e1a2565a53f4bc5bf052.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