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63BB" w14:textId="2AF0D395" w:rsidR="00C01E7B" w:rsidRDefault="00C01E7B" w:rsidP="00C01E7B">
      <w:pPr>
        <w:pStyle w:val="Kop3"/>
      </w:pPr>
      <w:bookmarkStart w:id="405" w:name="_Ref_2e5a8e490cac5341c16bb3ec9b2294cb_1"/>
      <w:bookmarkStart w:id="406" w:name="_Ref_2e5a8e490cac5341c16bb3ec9b2294cb_2"/>
      <w:r>
        <w:t xml:space="preserve">Intrekken </w:t>
      </w:r>
      <w:r w:rsidR="00732CDF">
        <w:t>&amp;</w:t>
      </w:r>
      <w:r>
        <w:t xml:space="preserve"> vervangen als reguliere wijzigingsmethode</w:t>
      </w:r>
      <w:bookmarkEnd w:id="405"/>
      <w:bookmarkEnd w:id="406"/>
    </w:p>
    <w:p w14:paraId="425ED14C" w14:textId="5D6D6561" w:rsidR="007018C0" w:rsidRDefault="00C01E7B" w:rsidP="00C01E7B">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4A5ACEAF" w14:textId="4A9022E1" w:rsidR="00C01E7B" w:rsidRDefault="00C01E7B" w:rsidP="00C01E7B">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w:t>
      </w:r>
      <w:r w:rsidRPr="00E0057B">
        <w:lastRenderedPageBreak/>
        <w:t xml:space="preserve">aangeven van deze opvolg-relatie </w:t>
      </w:r>
      <w:r>
        <w:t xml:space="preserve">kan DSO-LV </w:t>
      </w:r>
      <w:r w:rsidRPr="00E0057B">
        <w:t>bij een tijdreis vanuit de nieuwe regeling de ingetrokken regeling als voorganger tonen.</w:t>
      </w:r>
    </w:p>
    <w:p w14:paraId="66CC0A4A" w14:textId="426D259F" w:rsidR="00A2054E" w:rsidRDefault="00C01E7B" w:rsidP="007D0596">
      <w:r>
        <w:t xml:space="preserve">Juridisch gezien ligt het voor de hand om het intrekken van de oude regeling en het instellen van de nieuwe regeling in één besluit op te nemen, en om het continu aanwezig zijn van het 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