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4BD7A918"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812E0F">
          <w:t>het omgevingsplan</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812E0F">
        <w:rPr>
          <w:rStyle w:val="Verwijzing"/>
        </w:rPr>
        <w:t>4.4</w:t>
      </w:r>
      <w:r w:rsidR="00D25BE8" w:rsidRPr="00863F41">
        <w:rPr>
          <w:rStyle w:val="Verwijzing"/>
        </w:rPr>
        <w:fldChar w:fldCharType="end"/>
      </w:r>
      <w:r w:rsidR="00D25BE8">
        <w:t xml:space="preserve"> </w:t>
      </w:r>
      <w:r>
        <w:t xml:space="preserve">voorgeschreven en op </w:t>
      </w:r>
      <w:fldSimple w:instr=" DOCVARIABLE ID01+ ">
        <w:r w:rsidR="00812E0F">
          <w:t>het omgevingsplan</w:t>
        </w:r>
      </w:fldSimple>
      <w:r>
        <w:t xml:space="preserve"> 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_Ref_d620618e574c430be31ade5cc4c06cf0_2 \n \h </w:instrText>
      </w:r>
      <w:r w:rsidR="00D25BE8" w:rsidRPr="00863F41">
        <w:rPr>
          <w:rStyle w:val="Verwijzing"/>
        </w:rPr>
      </w:r>
      <w:r w:rsidR="00D25BE8" w:rsidRPr="00863F41">
        <w:rPr>
          <w:rStyle w:val="Verwijzing"/>
        </w:rPr>
        <w:fldChar w:fldCharType="separate"/>
      </w:r>
      <w:r w:rsidR="00812E0F">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lastRenderedPageBreak/>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