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505" w:name="_Ref_23257c20acf3f022bd49d3741dcc0118_1"/>
      <w:bookmarkStart w:id="506" w:name="_Ref_23257c20acf3f022bd49d3741dcc0118_2"/>
      <w:bookmarkStart w:id="507" w:name="_Ref_23257c20acf3f022bd49d3741dcc0118_3"/>
      <w:r>
        <w:t>Juridisch kader</w:t>
      </w:r>
      <w:bookmarkEnd w:id="505"/>
      <w:bookmarkEnd w:id="506"/>
      <w:bookmarkEnd w:id="507"/>
    </w:p>
    <w:p w14:paraId="6CE4F82C" w14:textId="73378B01" w:rsidR="004817B3" w:rsidRDefault="00E43714" w:rsidP="00E43714">
      <w:r>
        <w:t>De gemeenteraad stelt het omgevingsplan vast</w:t>
      </w:r>
      <w:r>
        <w:rPr>
          <w:rStyle w:val="Voetnootmarkering"/>
        </w:rPr>
        <w:footnoteReference w:id="55"/>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56"/>
      </w:r>
      <w:r>
        <w:t>.</w:t>
      </w:r>
    </w:p>
    <w:p w14:paraId="40D4BE1C" w14:textId="34DCAD22" w:rsidR="004817B3" w:rsidRDefault="00E43714" w:rsidP="00E43714">
      <w:r w:rsidRPr="001D5AA5">
        <w:lastRenderedPageBreak/>
        <w:t>Bij het vaststellen van een omgevingsplan 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57"/>
      </w:r>
      <w:r w:rsidRPr="001D5AA5">
        <w:t>.</w:t>
      </w:r>
    </w:p>
    <w:p w14:paraId="136B1C21" w14:textId="10EAD04A" w:rsidR="004817B3" w:rsidRDefault="00E43714" w:rsidP="00E43714">
      <w:r>
        <w:t>Het besluit wordt bekendgemaakt door plaatsing ervan in het gemeenteblad</w:t>
      </w:r>
      <w:r>
        <w:rPr>
          <w:rStyle w:val="Voetnootmarkering"/>
        </w:rPr>
        <w:footnoteReference w:id="58"/>
      </w:r>
      <w:r>
        <w:t>.</w:t>
      </w:r>
    </w:p>
    <w:p w14:paraId="04D4D9B9" w14:textId="0F22E0FA" w:rsidR="004817B3" w:rsidRDefault="004817B3" w:rsidP="00E43714"/>
    <w:p w14:paraId="432BF748" w14:textId="61435040" w:rsidR="004817B3" w:rsidRDefault="00886761" w:rsidP="00E43714">
      <w:r w:rsidRPr="007A01C8">
        <w:t xml:space="preserve">In afwijking van artikel 3:1, eerste lid, aanhef en onder b, </w:t>
      </w:r>
      <w:r>
        <w:t>Awb</w:t>
      </w:r>
      <w:r>
        <w:rPr>
          <w:rStyle w:val="Voetnootmarkering"/>
        </w:rPr>
        <w:footnoteReference w:id="59"/>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60"/>
      </w:r>
      <w:r w:rsidRPr="007A01C8">
        <w:t>.</w:t>
      </w:r>
      <w:r>
        <w:t xml:space="preserve"> Dit betekent dat naast de bepalingen van de Bekendmakingswet, ook een aantal bepalingen van de Awb over bekendmaking en mededeling van besluiten op het omgevingsplan van toepassing zijn, datzelfde geldt voor de Awb-bepalingen over de motivering van besluiten.</w:t>
      </w:r>
    </w:p>
    <w:p w14:paraId="6C76573B" w14:textId="1B455FAE" w:rsidR="004817B3"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61"/>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62"/>
      </w:r>
      <w:r w:rsidRPr="006B0115">
        <w:t>.</w:t>
      </w:r>
      <w:r>
        <w:t xml:space="preserve"> Deze bepaling houdt in dat deze zogeheten rechtsmiddelenclausule in het besluit moet worden opgenomen.</w:t>
      </w:r>
    </w:p>
    <w:p w14:paraId="1AFABE18" w14:textId="12FD5DCF"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63"/>
      </w:r>
      <w:r w:rsidRPr="00263C68">
        <w:t>.</w:t>
      </w:r>
      <w:r>
        <w:t xml:space="preserve"> Mocht zo’n geval aan de orde zijn dan zal dat in de bekendmaking (en in de kennisgeving) vermeld worden.</w:t>
      </w:r>
    </w:p>
    <w:p w14:paraId="205B68FA" w14:textId="77777777" w:rsidR="00E43714" w:rsidRDefault="00E43714" w:rsidP="00E43714"/>
    <w:p w14:paraId="58E0EA65" w14:textId="4F7463E9" w:rsidR="004817B3"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64"/>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65"/>
      </w:r>
      <w:r>
        <w:t>. De terinzagelegging geschiedt zowel op elektronische wijze als op een door de gemeente aan te wijzen locatie</w:t>
      </w:r>
      <w:r>
        <w:rPr>
          <w:rStyle w:val="Voetnootmarkering"/>
        </w:rPr>
        <w:footnoteReference w:id="66"/>
      </w:r>
      <w:r>
        <w:t>. De terinzagelegging vindt niet plaats in het gemeente</w:t>
      </w:r>
      <w:r w:rsidRPr="00F0063E">
        <w:t>blad</w:t>
      </w:r>
      <w:r>
        <w:rPr>
          <w:rStyle w:val="Voetnootmarkering"/>
        </w:rPr>
        <w:footnoteReference w:id="67"/>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A82D10">
        <w:t xml:space="preserve">De terinzagelegging op een door de gemeente te bepalen locatie kan worden georganiseerd door op een in de kennisgeving aangegeven locatie, zoals het gemeentehuis, de mogelijkheid te </w:t>
      </w:r>
      <w:r w:rsidRPr="00A82D10">
        <w:lastRenderedPageBreak/>
        <w:t xml:space="preserve">bieden om op een beeldscherm de op </w:t>
      </w:r>
      <w:r>
        <w:t xml:space="preserve">de zaak </w:t>
      </w:r>
      <w:r w:rsidRPr="00A82D10">
        <w:t>betrekking hebbende stukken te raadplegen. Uiteraard is het ook mogelijk om alle stukken te printen en in het gemeentehuis klaar te leggen voor inzage.</w:t>
      </w:r>
      <w:r>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68"/>
      </w:r>
      <w:r w:rsidRPr="00822ACB">
        <w:t>.</w:t>
      </w:r>
    </w:p>
    <w:p w14:paraId="6A22BEE4" w14:textId="478CF949"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69"/>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70"/>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4817B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71"/>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72"/>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73"/>
      </w:r>
      <w:r w:rsidRPr="0016679E">
        <w:t>.</w:t>
      </w:r>
      <w:r>
        <w:t xml:space="preserve"> GS moeten de reactieve interventie bekend maken </w:t>
      </w:r>
      <w:r w:rsidRPr="00C857D5">
        <w:t>binnen vier weken nadat het besluit tot vaststelling of wijziging van het omgevingsplan is bekendgemaakt</w:t>
      </w:r>
      <w:r>
        <w:rPr>
          <w:rStyle w:val="Voetnootmarkering"/>
        </w:rPr>
        <w:footnoteReference w:id="74"/>
      </w:r>
      <w:r w:rsidRPr="00C857D5">
        <w:t>.</w:t>
      </w:r>
    </w:p>
    <w:p w14:paraId="34B8E39D" w14:textId="7BF7FDC0" w:rsidR="004817B3" w:rsidRDefault="00886761" w:rsidP="00E43714">
      <w:r w:rsidRPr="005D1B54">
        <w:t xml:space="preserve">Tegelijkertijd met of zo spoedig mogelijk na de bekendmaking </w:t>
      </w:r>
      <w:r>
        <w:t>moet de gemeente</w:t>
      </w:r>
      <w:r w:rsidRPr="005D1B54">
        <w:t xml:space="preserve"> van het besluit mededeling </w:t>
      </w:r>
      <w:r>
        <w:t>doen</w:t>
      </w:r>
      <w:r w:rsidRPr="005D1B54">
        <w:t xml:space="preserve"> aan degenen die bij de voorbereiding ervan hun zienswijze naar voren hebben gebracht</w:t>
      </w:r>
      <w:r>
        <w:rPr>
          <w:rStyle w:val="Voetnootmarkering"/>
        </w:rPr>
        <w:footnoteReference w:id="75"/>
      </w:r>
      <w:r w:rsidRPr="005D1B54">
        <w:t>.</w:t>
      </w:r>
      <w:r>
        <w:t xml:space="preserve"> Aan hen moet de gemeente een exemplaar van het besluit toezenden</w:t>
      </w:r>
      <w:r>
        <w:rPr>
          <w:rStyle w:val="Voetnootmarkering"/>
        </w:rPr>
        <w:footnoteReference w:id="76"/>
      </w:r>
      <w:r>
        <w:t>.</w:t>
      </w:r>
    </w:p>
    <w:p w14:paraId="59F5A2BE" w14:textId="77777777" w:rsidR="00E43714" w:rsidRDefault="00E43714" w:rsidP="00E43714"/>
    <w:p w14:paraId="49DDEFE6" w14:textId="1BE47A30" w:rsidR="004817B3" w:rsidRDefault="00E43714" w:rsidP="00E43714">
      <w:r>
        <w:t>Tegen het besluit tot vaststelling van het omgevingsplan kan een belanghebbende rechtstreeks beroep bij de Afdeling bestuursrechtspraak van de Raad van State instellen</w:t>
      </w:r>
      <w:r>
        <w:rPr>
          <w:rStyle w:val="Voetnootmarkering"/>
        </w:rPr>
        <w:footnoteReference w:id="77"/>
      </w:r>
      <w:r>
        <w:t xml:space="preserve"> (zie hiervoor verder paragraaf </w:t>
      </w:r>
      <w:r>
        <w:fldChar w:fldCharType="begin"/>
      </w:r>
      <w:r>
        <w:instrText xml:space="preserve"> REF _Ref_ce894b57ad39bbc7b94caf882b7c6418_1 \n \h </w:instrText>
      </w:r>
      <w:r>
        <w:fldChar w:fldCharType="separate"/>
      </w:r>
      <w:r w:rsidR="00812E0F">
        <w:t>10.4.5</w:t>
      </w:r>
      <w:r>
        <w:fldChar w:fldCharType="end"/>
      </w:r>
      <w:r>
        <w:t>).</w:t>
      </w:r>
    </w:p>
    <w:p w14:paraId="7409897F" w14:textId="62492D75" w:rsidR="00E43714" w:rsidRDefault="00E43714" w:rsidP="00E43714">
      <w:r w:rsidRPr="00DA45EA">
        <w:lastRenderedPageBreak/>
        <w:t>De termijn voor het indienen van een beroepschrift bedraagt zes weken</w:t>
      </w:r>
      <w:r>
        <w:rPr>
          <w:rStyle w:val="Voetnootmarkering"/>
        </w:rPr>
        <w:footnoteReference w:id="78"/>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79"/>
      </w:r>
      <w:r w:rsidRPr="00766F7C">
        <w:t>.</w:t>
      </w:r>
    </w:p>
    <w:p w14:paraId="2CECCB51" w14:textId="77777777" w:rsidR="00E43714" w:rsidRDefault="00E43714" w:rsidP="00E43714"/>
    <w:p w14:paraId="1340B7C6" w14:textId="77777777" w:rsidR="00E43714" w:rsidRDefault="00E43714" w:rsidP="00E43714">
      <w:r w:rsidRPr="00607911">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80"/>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81"/>
      </w:r>
      <w:r w:rsidRPr="00090C84">
        <w:t>.</w:t>
      </w:r>
    </w:p>
    <w:p w14:paraId="34D6D623" w14:textId="77777777" w:rsidR="00E43714" w:rsidRDefault="00E43714" w:rsidP="00E43714"/>
    <w:p w14:paraId="30E1C0D3" w14:textId="6C2B416D" w:rsidR="00E43714" w:rsidRDefault="00E43714" w:rsidP="00E43714">
      <w:r>
        <w:t xml:space="preserve">De hiervoor beschreven procedure is met een tijdlijn inzichtelijk gemaakt in </w:t>
      </w:r>
      <w:r>
        <w:fldChar w:fldCharType="begin"/>
      </w:r>
      <w:r>
        <w:instrText xml:space="preserve"> REF _Ref_23257c20acf3f022bd49d3741dcc0118_4 \n \h </w:instrText>
      </w:r>
      <w:r>
        <w:fldChar w:fldCharType="separate"/>
      </w:r>
      <w:r w:rsidR="00812E0F">
        <w:t>Figuur 74</w:t>
      </w:r>
      <w:r>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96">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509" w:name="_Ref_23257c20acf3f022bd49d3741dcc0118_4"/>
      <w:r>
        <w:t>Procedure definitief besluit wijziging omgevingsplan</w:t>
      </w:r>
      <w:bookmarkEnd w:id="50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6"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