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DBFC" w14:textId="77777777" w:rsidR="00E43714" w:rsidRDefault="00E43714" w:rsidP="00E43714">
      <w:pPr>
        <w:pStyle w:val="Kop5"/>
      </w:pPr>
      <w:r>
        <w:t>Terinzageleggen</w:t>
      </w:r>
      <w:r w:rsidRPr="001D53C2">
        <w:t xml:space="preserve"> op </w:t>
      </w:r>
      <w:r>
        <w:t>de zaak</w:t>
      </w:r>
      <w:r w:rsidRPr="001D53C2">
        <w:t xml:space="preserve"> betrekking hebbende stukken</w:t>
      </w:r>
    </w:p>
    <w:p w14:paraId="21F954DF" w14:textId="40AB6DDE" w:rsidR="004817B3" w:rsidRDefault="00E43714" w:rsidP="00E43714">
      <w:r>
        <w:t>De gemeente</w:t>
      </w:r>
      <w:r w:rsidRPr="0097076B">
        <w:t xml:space="preserve"> moet de op </w:t>
      </w:r>
      <w:r>
        <w:t xml:space="preserve">de zaak </w:t>
      </w:r>
      <w:r w:rsidRPr="0097076B">
        <w:t>betrekking hebbende stukken ter inzage leggen.</w:t>
      </w:r>
    </w:p>
    <w:p w14:paraId="3E999739" w14:textId="53472815" w:rsidR="00E43714" w:rsidRDefault="00E43714" w:rsidP="00E43714">
      <w:r w:rsidRPr="009F575E">
        <w:t>NB: Zoals in paragra</w:t>
      </w:r>
      <w:r>
        <w:t>a</w:t>
      </w:r>
      <w:r w:rsidRPr="009F575E">
        <w:t xml:space="preserve">f </w:t>
      </w:r>
      <w:r>
        <w:fldChar w:fldCharType="begin"/>
      </w:r>
      <w:r>
        <w:instrText xml:space="preserve"> REF _Ref_23257c20acf3f022bd49d3741dcc0118_2 \n \h </w:instrText>
      </w:r>
      <w:r>
        <w:fldChar w:fldCharType="separate"/>
      </w:r>
      <w:r w:rsidR="00812E0F">
        <w:t>10.4.4.1</w:t>
      </w:r>
      <w:r>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 xml:space="preserve">wijzigingsbesluit </w:t>
      </w:r>
      <w:r w:rsidRPr="009F575E">
        <w:t>zelf niet ter inzage gelegd te worden. Da</w:t>
      </w:r>
      <w:r>
        <w:t xml:space="preserve">t </w:t>
      </w:r>
      <w:r w:rsidRPr="009F575E">
        <w:t xml:space="preserve">moet immers </w:t>
      </w:r>
      <w:r>
        <w:t>bekendgemaakt</w:t>
      </w:r>
      <w:r w:rsidRPr="009F575E">
        <w:t xml:space="preserve"> worden in het publicatieblad.</w:t>
      </w:r>
    </w:p>
    <w:p w14:paraId="254B331C" w14:textId="77777777" w:rsidR="00E43714" w:rsidRDefault="00E43714" w:rsidP="00E43714">
      <w:pPr>
        <w:pStyle w:val="Kader"/>
      </w:pPr>
      <w:r w:rsidRPr="00B26823">
        <w:rPr>
          <w:noProof/>
        </w:rPr>
        <mc:AlternateContent>
          <mc:Choice Requires="wps">
            <w:drawing>
              <wp:inline distT="0" distB="0" distL="0" distR="0" wp14:anchorId="0D99A475" wp14:editId="5A46CA95">
                <wp:extent cx="5400040" cy="985631"/>
                <wp:effectExtent l="0" t="0" r="22860" b="22860"/>
                <wp:docPr id="953394671" name="Tekstvak 95339467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879D659" w14:textId="77777777" w:rsidR="00E43714" w:rsidRPr="00D80A79" w:rsidRDefault="00E43714" w:rsidP="00E43714">
                            <w:pPr>
                              <w:rPr>
                                <w:b/>
                                <w:bCs/>
                              </w:rPr>
                            </w:pPr>
                            <w:r w:rsidRPr="00D80A79">
                              <w:rPr>
                                <w:b/>
                                <w:bCs/>
                              </w:rPr>
                              <w:t>Toekomstige functionaliteit</w:t>
                            </w:r>
                          </w:p>
                          <w:p w14:paraId="3C4F70E9" w14:textId="528572DC" w:rsidR="004817B3" w:rsidRDefault="0088676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4817B3" w:rsidRDefault="004817B3" w:rsidP="003B1642"/>
                          <w:p w14:paraId="245B36CE" w14:textId="77777777" w:rsidR="004817B3" w:rsidRPr="00694434" w:rsidRDefault="00886761" w:rsidP="003B1642">
                            <w:pPr>
                              <w:rPr>
                                <w:b/>
                                <w:bCs/>
                              </w:rPr>
                            </w:pPr>
                            <w:r w:rsidRPr="00694434">
                              <w:rPr>
                                <w:b/>
                                <w:bCs/>
                              </w:rPr>
                              <w:t>Workaround</w:t>
                            </w:r>
                          </w:p>
                          <w:p w14:paraId="5A524165" w14:textId="5FA6A550" w:rsidR="004817B3" w:rsidRDefault="00886761" w:rsidP="003B1642">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0A3A140" w14:textId="77777777" w:rsidR="004817B3" w:rsidRDefault="00886761"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4817B3" w:rsidRDefault="0088676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4817B3" w:rsidRDefault="004817B3" w:rsidP="003B1642"/>
                          <w:p w14:paraId="0BBBE12B" w14:textId="6232FC0A" w:rsidR="00E43714" w:rsidRDefault="00886761"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B00FA8">
                              <w:t>in het onderdeel</w:t>
                            </w:r>
                            <w:r w:rsidR="00B00FA8" w:rsidRPr="000479F3">
                              <w:t xml:space="preserve"> </w:t>
                            </w:r>
                            <w:r w:rsidRPr="000479F3">
                              <w:t>Toelichting</w:t>
                            </w:r>
                            <w:r>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4817B3" w:rsidRPr="0022671B" w:rsidRDefault="0088676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9A475" id="Tekstvak 953394671" o:spid="_x0000_s105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l5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o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JSY5eTACAABaBAAADgAAAAAAAAAAAAAAAAAuAgAAZHJz&#10;L2Uyb0RvYy54bWxQSwECLQAUAAYACAAAACEALfghbNoAAAAFAQAADwAAAAAAAAAAAAAAAACKBAAA&#10;ZHJzL2Rvd25yZXYueG1sUEsFBgAAAAAEAAQA8wAAAJEFAAAAAA==&#10;" filled="f" strokeweight=".5pt">
                <v:textbox style="mso-fit-shape-to-text:t">
                  <w:txbxContent>
                    <w:p w14:paraId="6879D659" w14:textId="77777777" w:rsidR="00E43714" w:rsidRPr="00D80A79" w:rsidRDefault="00E43714" w:rsidP="00E43714">
                      <w:pPr>
                        <w:rPr>
                          <w:b/>
                          <w:bCs/>
                        </w:rPr>
                      </w:pPr>
                      <w:r w:rsidRPr="00D80A79">
                        <w:rPr>
                          <w:b/>
                          <w:bCs/>
                        </w:rPr>
                        <w:t>Toekomstige functionaliteit</w:t>
                      </w:r>
                    </w:p>
                    <w:p w14:paraId="3C4F70E9" w14:textId="528572DC" w:rsidR="004817B3" w:rsidRDefault="0088676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4817B3" w:rsidRDefault="004817B3" w:rsidP="003B1642"/>
                    <w:p w14:paraId="245B36CE" w14:textId="77777777" w:rsidR="004817B3" w:rsidRPr="00694434" w:rsidRDefault="00886761" w:rsidP="003B1642">
                      <w:pPr>
                        <w:rPr>
                          <w:b/>
                          <w:bCs/>
                        </w:rPr>
                      </w:pPr>
                      <w:r w:rsidRPr="00694434">
                        <w:rPr>
                          <w:b/>
                          <w:bCs/>
                        </w:rPr>
                        <w:t>Workaround</w:t>
                      </w:r>
                    </w:p>
                    <w:p w14:paraId="5A524165" w14:textId="5FA6A550" w:rsidR="004817B3" w:rsidRDefault="00886761" w:rsidP="003B1642">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0A3A140" w14:textId="77777777" w:rsidR="004817B3" w:rsidRDefault="00886761"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4817B3" w:rsidRDefault="0088676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4817B3" w:rsidRDefault="004817B3" w:rsidP="003B1642"/>
                    <w:p w14:paraId="0BBBE12B" w14:textId="6232FC0A" w:rsidR="00E43714" w:rsidRDefault="00886761"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B00FA8">
                        <w:t>in het onderdeel</w:t>
                      </w:r>
                      <w:r w:rsidR="00B00FA8" w:rsidRPr="000479F3">
                        <w:t xml:space="preserve"> </w:t>
                      </w:r>
                      <w:r w:rsidRPr="000479F3">
                        <w:t>Toelichting</w:t>
                      </w:r>
                      <w:r>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4817B3" w:rsidRPr="0022671B" w:rsidRDefault="0088676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