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lastRenderedPageBreak/>
        <w:t>Leeswijzer</w:t>
      </w:r>
    </w:p>
    <w:p w14:paraId="6EFFCBC6" w14:textId="44AFEE52"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9932C2">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371FA8">
        <w:t>de omgevingsverordening</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_Ref_b3c8fe302d5926808ee5fc24972a725e_1 \n \h  \* MERGEFORMAT </w:instrText>
      </w:r>
      <w:r w:rsidR="006A41EC" w:rsidRPr="00863F41">
        <w:rPr>
          <w:rStyle w:val="Verwijzing"/>
        </w:rPr>
      </w:r>
      <w:r w:rsidR="006A41EC" w:rsidRPr="00863F41">
        <w:rPr>
          <w:rStyle w:val="Verwijzing"/>
        </w:rPr>
        <w:fldChar w:fldCharType="separate"/>
      </w:r>
      <w:r w:rsidR="009932C2">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371FA8">
        <w:t>de omgevingsverordening</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_Ref_7e9731f8c2b05f39a4ee59a9b53599f7_1 \n \h  \* MERGEFORMAT </w:instrText>
      </w:r>
      <w:r w:rsidR="009F5703" w:rsidRPr="00863F41">
        <w:rPr>
          <w:rStyle w:val="Verwijzing"/>
        </w:rPr>
      </w:r>
      <w:r w:rsidR="009F5703" w:rsidRPr="00863F41">
        <w:rPr>
          <w:rStyle w:val="Verwijzing"/>
        </w:rPr>
        <w:fldChar w:fldCharType="separate"/>
      </w:r>
      <w:r w:rsidR="009932C2">
        <w:rPr>
          <w:rStyle w:val="Verwijzing"/>
        </w:rPr>
        <w:t>C</w:t>
      </w:r>
      <w:r w:rsidR="009F5703" w:rsidRPr="00863F41">
        <w:rPr>
          <w:rStyle w:val="Verwijzing"/>
        </w:rPr>
        <w:fldChar w:fldCharType="end"/>
      </w:r>
      <w:r w:rsidR="009F5703" w:rsidRPr="00B26823">
        <w:t xml:space="preserve"> </w:t>
      </w:r>
      <w:r w:rsidR="009F5703">
        <w:t xml:space="preserve">tenslotte </w:t>
      </w:r>
      <w:r w:rsidR="00546DD0" w:rsidRPr="00546DD0">
        <w:t>gaat over een aantal aspecten van de aanlevering.</w:t>
      </w:r>
      <w:r w:rsidR="00546DD0">
        <w:t xml:space="preserve"> Het gaat dan om</w:t>
      </w:r>
      <w:r w:rsidR="00F770E4">
        <w:t xml:space="preserve"> </w:t>
      </w:r>
      <w:r w:rsidR="00794FB0">
        <w:t xml:space="preserve">de </w:t>
      </w:r>
      <w:r w:rsidR="00F770E4">
        <w:t xml:space="preserve">wettelijk voorgeschreven </w:t>
      </w:r>
      <w:r w:rsidR="00794FB0">
        <w:t xml:space="preserve">procedure </w:t>
      </w:r>
      <w:r w:rsidR="00F770E4">
        <w:t xml:space="preserve">die </w:t>
      </w:r>
      <w:fldSimple w:instr=" DOCVARIABLE ID01+ ">
        <w:r w:rsidR="00371FA8">
          <w:t>de omgevingsverordening</w:t>
        </w:r>
      </w:fldSimple>
      <w:r w:rsidR="00482077">
        <w:t xml:space="preserve"> doorloopt en de producten en gegevens die per stap in die procedure moeten worden aangeleverd.</w:t>
      </w:r>
      <w:r w:rsidR="00BD0C98">
        <w:t xml:space="preserve"> </w:t>
      </w:r>
      <w:r w:rsidR="00BD0C98" w:rsidRPr="00BD0C98">
        <w:t>Ook gaat dit hoofdstuk in op rectificatie en revisie.</w:t>
      </w:r>
    </w:p>
    <w:p w14:paraId="1902C7C8" w14:textId="77777777" w:rsidR="00E33EDD" w:rsidRPr="00A22075" w:rsidRDefault="00E33EDD" w:rsidP="00E33EDD"/>
    <w:p w14:paraId="70B79A47" w14:textId="1F42396C"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371FA8">
        <w:t>de omgevingsverordening</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371FA8">
        <w:t>de omgevingsverordening</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371FA8">
        <w:t>de omgevingsverordening</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371FA8">
        <w:t>omgevingsverordening</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