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FA0C" w14:textId="05C2A7D6" w:rsidR="007978A2" w:rsidRPr="002B24A1" w:rsidRDefault="007978A2" w:rsidP="007978A2">
      <w:pPr>
        <w:pStyle w:val="Kop4"/>
      </w:pPr>
      <w:r w:rsidRPr="0039362E">
        <w:lastRenderedPageBreak/>
        <w:t>Toepassen van tijdelijk regelingdeel bij voorbereidingsbesluit dat omgevingsverordening wijzigt</w:t>
      </w:r>
    </w:p>
    <w:p w14:paraId="4A416C82" w14:textId="77777777" w:rsidR="007978A2" w:rsidRDefault="007978A2" w:rsidP="007978A2">
      <w:r w:rsidRPr="006D67F4">
        <w:t>Gebleken is dat</w:t>
      </w:r>
      <w:r>
        <w:t xml:space="preserve"> de </w:t>
      </w:r>
      <w:r w:rsidRPr="00644B6C">
        <w:t xml:space="preserve">vorm van meervoudig bronhouderschap </w:t>
      </w:r>
      <w:r>
        <w:t xml:space="preserve">die de wetgever voor het omgevingsplan beoogde juridisch én </w:t>
      </w:r>
      <w:r w:rsidRPr="000D2E1E">
        <w:t xml:space="preserve">technisch </w:t>
      </w:r>
      <w:r>
        <w:t xml:space="preserve">heel </w:t>
      </w:r>
      <w:r w:rsidRPr="006D67F4">
        <w:t xml:space="preserve">complex is. </w:t>
      </w:r>
      <w:r>
        <w:t xml:space="preserve">Dat is </w:t>
      </w:r>
      <w:r w:rsidRPr="006D67F4">
        <w:t xml:space="preserve">omdat iedere wijziging niet alleen een wijziging van tekst is, maar ook van locaties, annotaties en </w:t>
      </w:r>
      <w:r w:rsidRPr="003C6B75">
        <w:t>geografische informatieobjecten</w:t>
      </w:r>
      <w:r>
        <w:t xml:space="preserve">, omdat het omgevingsplan in de overgangsfase bestaat </w:t>
      </w:r>
      <w:r w:rsidRPr="001B6FD1">
        <w:t>uit het omgevingsplan van rechtswege (de geldende bestemmingsplannen c.a.), de bruidsschatregels en het omgevingsplan dat de gemeente zelf aan het opbouwen is</w:t>
      </w:r>
      <w:r>
        <w:t xml:space="preserve"> en omdat het omgevingsplan naar verwachting vaak gewijzigd zal worden.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4AECA260" w14:textId="77777777" w:rsidR="007978A2" w:rsidRDefault="007978A2" w:rsidP="007978A2">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Dit </w:t>
      </w:r>
      <w:r w:rsidRPr="00D80239">
        <w:t xml:space="preserve">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zo uit:</w:t>
      </w:r>
    </w:p>
    <w:p w14:paraId="731E0CF8" w14:textId="77777777" w:rsidR="007978A2" w:rsidRPr="003C30F3" w:rsidRDefault="007978A2" w:rsidP="007978A2">
      <w:pPr>
        <w:pStyle w:val="Figuur"/>
      </w:pPr>
      <w:r>
        <w:rPr>
          <w:noProof/>
        </w:rPr>
        <w:drawing>
          <wp:inline distT="0" distB="0" distL="0" distR="0" wp14:anchorId="1F2C4847" wp14:editId="00DD89FD">
            <wp:extent cx="3952875" cy="2664079"/>
            <wp:effectExtent l="0" t="0" r="0"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62E48CF6" w14:textId="77777777" w:rsidR="007978A2" w:rsidRDefault="007978A2" w:rsidP="007978A2">
      <w:pPr>
        <w:pStyle w:val="Figuurbijschrift"/>
      </w:pPr>
      <w:r w:rsidRPr="00114BD5">
        <w:tab/>
        <w:t>Onderdelen geconsolideerde regeling: hoofdregeling en tijdelijk regel</w:t>
      </w:r>
      <w:r>
        <w:t>ing</w:t>
      </w:r>
      <w:r w:rsidRPr="00114BD5">
        <w:t>del</w:t>
      </w:r>
      <w:r>
        <w:t>en</w:t>
      </w:r>
    </w:p>
    <w:p w14:paraId="7500B7C5" w14:textId="77777777" w:rsidR="007978A2" w:rsidRDefault="007978A2" w:rsidP="007978A2">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Het tijdelijk regelingdeel is vormgegeven in het </w:t>
      </w:r>
      <w:r w:rsidRPr="001657E4">
        <w:t>tekstmodel RegelingTijdelijkdeel.</w:t>
      </w:r>
    </w:p>
    <w:p w14:paraId="3796EAD1" w14:textId="77777777" w:rsidR="007978A2" w:rsidRDefault="007978A2" w:rsidP="007978A2"/>
    <w:p w14:paraId="6014E48D" w14:textId="217BBCDD" w:rsidR="00DC2876" w:rsidRDefault="007978A2" w:rsidP="007978A2">
      <w:r>
        <w:t>De hoofdregeling is de initiële omgevingsverordening,</w:t>
      </w:r>
      <w:r w:rsidRPr="00AA27B5">
        <w:t xml:space="preserve"> </w:t>
      </w:r>
      <w:r>
        <w:t xml:space="preserve">geconsolideerd met alle wijzigingsbesluiten die de provincie </w:t>
      </w:r>
      <w:r w:rsidRPr="00A12C56">
        <w:t xml:space="preserve">daarna </w:t>
      </w:r>
      <w:r>
        <w:t xml:space="preserve">heeft </w:t>
      </w:r>
      <w:r w:rsidRPr="00A12C56">
        <w:t>genomen</w:t>
      </w:r>
      <w:r>
        <w:t xml:space="preserve">. Een tijdelijk regelingdeel is een technisch afzonderlijk deel, dat niet wordt geconsolideerd in de hoofdregeling, maar wel samen met de hoofdregeling de geconsolideerde regeling vormt. Ieder tijdelijk regelingdeel </w:t>
      </w:r>
      <w:r>
        <w:lastRenderedPageBreak/>
        <w:t>kan met wijzigingsbesluiten worden gewijzigd; dan ontstaat een consolidatie van dat tijdelijk regelingdeel.</w:t>
      </w:r>
    </w:p>
    <w:p w14:paraId="2A09BD16" w14:textId="23092495" w:rsidR="00DC2876" w:rsidRDefault="007978A2" w:rsidP="007978A2">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594E2FD1" w14:textId="52A7C23E" w:rsidR="007978A2" w:rsidRDefault="007978A2" w:rsidP="007978A2"/>
    <w:p w14:paraId="278D53D2" w14:textId="77777777" w:rsidR="007978A2" w:rsidRDefault="007978A2" w:rsidP="007978A2">
      <w:r w:rsidRPr="00AF443E">
        <w:t>Het concept tijdelijk regelingdeel wordt zowel toegepast bij de voorbereidingsbesluiten die met meervoudig bronhouderschap het omgevingsplan wijzigen, als bij voorbereidingsbesluiten zonder meervoudig bronhouderschap. Bij die laatste categorie wijzigt het bestuursorgaan van gemeente of provincie het ‘eigen’ omgevingsplan of de ‘eigen’ omgevingsverordening met voorbeschermingsregels. De belangrijkste reden voor de keuze om het tijdelijk regelingdeel ook toe te passen bij voorbereidingsbesluiten zonder meervoudig bronhouderschap is dat voorbeschermingsregels altijd vervallen. Door ze onder te brengen in het tijdelijk regelingdeel is het technisch eenvoudig om ze niet meer te laten tonen nadat ze zijn vervallen. Na een relatief beperkte handeling is het tijdelijk regelingdeel met de voorbeschermingsregels geen onderdeel meer van de geconsolideerde regeling. Wanneer de voorbeschermingsregels rechtstreeks zouden zijn opgenomen in de geconsolideerde versie van de omgevingsverordening vraagt dat veel meer van plansoftware en administratie. Dan moet immers de volledige verwerking van de voorbeschermingsregels in de omgevingsverordening worden teruggedraaid, waarbij eventueel ook nog tussentijdse wijzigingsbesluiten een rol kunnen spelen. Daarom is gekozen voor een oplossing die voor de bevoegde gezagen een zo beperkt mogelijk aantal complicaties met zich meebrengt.</w:t>
      </w:r>
    </w:p>
    <w:p w14:paraId="73D57288" w14:textId="77777777" w:rsidR="007978A2" w:rsidRDefault="007978A2" w:rsidP="007978A2"/>
    <w:p w14:paraId="5E97C40A" w14:textId="77777777" w:rsidR="007978A2" w:rsidRDefault="007978A2" w:rsidP="007978A2">
      <w:r>
        <w:t xml:space="preserve">Ieder afzonderlijk voorbereidingsbesluit leidt tot een afzonderlijk tijdelijk regelingdeel. Er kunnen dus tegelijkertijd voor het grondgebied van één provincie meerdere tijdelijk regelingdelen zijn, ieder ontstaan uit een afzonderlijk voorbereidingsbesluit. Het is dus niet zo dat er per één tijdelijk regelingdeel is waarin </w:t>
      </w:r>
      <w:r w:rsidRPr="00C112B6">
        <w:t>de voorbeschermingsregels van alle genomen voorbereidingsbesluiten</w:t>
      </w:r>
      <w:r>
        <w:t xml:space="preserve"> worden opgenomen.</w:t>
      </w:r>
    </w:p>
    <w:p w14:paraId="7F489E8D" w14:textId="2C24A904" w:rsidR="007978A2" w:rsidRDefault="007978A2" w:rsidP="007978A2">
      <w:r>
        <w:t xml:space="preserve">Visueel gemaakt in een kaartbeeld zoals dat in bijvoorbeeld DSO-LV te zien kan zijn, ziet dat eruit als weergegeven in </w:t>
      </w:r>
      <w:r w:rsidR="00FA5B30">
        <w:rPr>
          <w:rStyle w:val="Verwijzing"/>
        </w:rPr>
        <w:fldChar w:fldCharType="begin"/>
      </w:r>
      <w:r w:rsidR="00FA5B30">
        <w:instrText xml:space="preserve"> REF _Ref_5f1fae110760cc6ed5ec86aa0ae4970c_1 \n \h </w:instrText>
      </w:r>
      <w:r w:rsidR="00FA5B30">
        <w:rPr>
          <w:rStyle w:val="Verwijzing"/>
        </w:rPr>
      </w:r>
      <w:r w:rsidR="00FA5B30">
        <w:rPr>
          <w:rStyle w:val="Verwijzing"/>
        </w:rPr>
        <w:fldChar w:fldCharType="separate"/>
      </w:r>
      <w:r w:rsidR="009932C2">
        <w:t>Figuur 2</w:t>
      </w:r>
      <w:r w:rsidR="00FA5B30">
        <w:rPr>
          <w:rStyle w:val="Verwijzing"/>
        </w:rPr>
        <w:fldChar w:fldCharType="end"/>
      </w:r>
      <w:r>
        <w:t>:</w:t>
      </w:r>
    </w:p>
    <w:p w14:paraId="1FF78F25" w14:textId="77777777" w:rsidR="007978A2" w:rsidRDefault="007978A2" w:rsidP="007978A2">
      <w:pPr>
        <w:pStyle w:val="Figuur"/>
      </w:pPr>
      <w:r>
        <w:rPr>
          <w:noProof/>
        </w:rPr>
        <w:lastRenderedPageBreak/>
        <w:drawing>
          <wp:inline distT="0" distB="0" distL="0" distR="0" wp14:anchorId="4E03593E" wp14:editId="7183916A">
            <wp:extent cx="5259441" cy="3206750"/>
            <wp:effectExtent l="0" t="0" r="0" b="0"/>
            <wp:docPr id="12" name="Afbeelding 12"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kaart&#10;&#10;Automatisch gegenereerde beschrijving"/>
                    <pic:cNvPicPr/>
                  </pic:nvPicPr>
                  <pic:blipFill>
                    <a:blip r:embed="rId21"/>
                    <a:stretch>
                      <a:fillRect/>
                    </a:stretch>
                  </pic:blipFill>
                  <pic:spPr>
                    <a:xfrm>
                      <a:off x="0" y="0"/>
                      <a:ext cx="5267114" cy="3211429"/>
                    </a:xfrm>
                    <a:prstGeom prst="rect">
                      <a:avLst/>
                    </a:prstGeom>
                  </pic:spPr>
                </pic:pic>
              </a:graphicData>
            </a:graphic>
          </wp:inline>
        </w:drawing>
      </w:r>
    </w:p>
    <w:p w14:paraId="773B4519" w14:textId="77777777" w:rsidR="007978A2" w:rsidRDefault="007978A2" w:rsidP="007978A2">
      <w:pPr>
        <w:pStyle w:val="Figuurbijschrift"/>
      </w:pPr>
      <w:bookmarkStart w:id="25" w:name="_Ref_5f1fae110760cc6ed5ec86aa0ae4970c_1"/>
      <w:r w:rsidRPr="0020452A">
        <w:t xml:space="preserve">Schematisch kaartbeeld van geconsolideerde regeling bestaande uit hoofdregeling en tijdelijk regelingdelen van één </w:t>
      </w:r>
      <w:r>
        <w:t>provincie</w:t>
      </w:r>
      <w:bookmarkEnd w:id="25"/>
    </w:p>
    <w:p w14:paraId="0101CECD" w14:textId="4BDC231F" w:rsidR="007978A2" w:rsidRPr="007A2F00" w:rsidRDefault="007978A2" w:rsidP="007978A2">
      <w:r w:rsidRPr="00376B31">
        <w:t xml:space="preserve">Opgemerkt wordt dat er toepasbare regels kunnen zijn bij regels uit de hoofdregeling die door </w:t>
      </w:r>
      <w:r>
        <w:t xml:space="preserve">een </w:t>
      </w:r>
      <w:r w:rsidRPr="00376B31">
        <w:t>voorbereidingsbesluit 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image" Target="media/image_fc0202bf53462d53b8717d531f367866.png"/><Relationship Id="rId21" Type="http://schemas.openxmlformats.org/officeDocument/2006/relationships/image" Target="media/image_b8f18eae90273beaa9346fe3e58fc9f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