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lastRenderedPageBreak/>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0C2E125A"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371FA8">
        <w:t>de omgevingsverordening</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3C779498"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_Ref_8930124370afff749d712d9f246e61cb_2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9932C2">
        <w:rPr>
          <w:rStyle w:val="Verwijzing"/>
        </w:rPr>
        <w:t>Figuur 46</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_Ref_8930124370afff749d712d9f246e61cb_1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9932C2">
        <w:rPr>
          <w:rStyle w:val="Verwijzing"/>
        </w:rPr>
        <w:t>7.8.1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lastRenderedPageBreak/>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5021067B"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_Ref_e497210f3fb04f3a2531441d73a24e5b_1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9932C2">
        <w:rPr>
          <w:rStyle w:val="Verwijzing"/>
        </w:rPr>
        <w:t>7.7.5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5FBD8206"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9932C2">
        <w:rPr>
          <w:rStyle w:val="Verwijzing"/>
        </w:rPr>
        <w:t>7.3</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09DF9E42"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371FA8">
        <w:t>de omgevingsverordening</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