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8CC4" w14:textId="77777777" w:rsidR="003D63AC" w:rsidRPr="000C754B" w:rsidRDefault="003D63AC" w:rsidP="003D63AC">
      <w:pPr>
        <w:pStyle w:val="Kop5"/>
      </w:pPr>
      <w:bookmarkStart w:id="365" w:name="_Ref_3be465acf082a19de8a5c62078fcb97b_1"/>
      <w:r>
        <w:t>Toelichting op de norm</w:t>
      </w:r>
      <w:bookmarkEnd w:id="365"/>
    </w:p>
    <w:p w14:paraId="4283FF9D" w14:textId="77777777" w:rsidR="003D63AC" w:rsidRDefault="003D63AC" w:rsidP="003D63AC">
      <w:pPr>
        <w:rPr>
          <w:u w:val="single"/>
        </w:rPr>
      </w:pPr>
    </w:p>
    <w:p w14:paraId="5CF1FDA7" w14:textId="77777777" w:rsidR="003D63AC" w:rsidRPr="00141417" w:rsidRDefault="003D63AC" w:rsidP="003D63AC">
      <w:pPr>
        <w:rPr>
          <w:u w:val="single"/>
        </w:rPr>
      </w:pPr>
      <w:r w:rsidRPr="00141417">
        <w:rPr>
          <w:u w:val="single"/>
        </w:rPr>
        <w:t>Inleiding en achtergrond</w:t>
      </w:r>
    </w:p>
    <w:p w14:paraId="05B5F376" w14:textId="4359B7B7" w:rsidR="003F5822" w:rsidRDefault="003D63AC" w:rsidP="003D63AC">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0001A2D4" w14:textId="3049ACDE" w:rsidR="003D63AC" w:rsidRDefault="003D63AC" w:rsidP="003D63AC"/>
    <w:p w14:paraId="59D04E25" w14:textId="77777777" w:rsidR="003D63AC" w:rsidRDefault="003D63AC" w:rsidP="003D63AC">
      <w:r>
        <w:t xml:space="preserve">Het verwijzen naar OW-objecten in andere Regelingen levert technische en </w:t>
      </w:r>
      <w:r w:rsidRPr="00107314">
        <w:t xml:space="preserve">juridische </w:t>
      </w:r>
      <w:r>
        <w:t>problemen en risico’s op. De volgende voorbeelden illustreren dat:</w:t>
      </w:r>
    </w:p>
    <w:p w14:paraId="7E2181F5" w14:textId="63E9CA9C" w:rsidR="003F5822" w:rsidRDefault="003D63AC" w:rsidP="003D63AC">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2D5A6802" w14:textId="668383F2" w:rsidR="003D63AC" w:rsidRDefault="003D63AC" w:rsidP="003D63AC">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 xml:space="preserve">ocatie in het omgevingsplan automatisch </w:t>
      </w:r>
      <w:r w:rsidR="00C030CA" w:rsidRPr="00EA1F9E">
        <w:t>meewijzigen</w:t>
      </w:r>
      <w:r w:rsidRPr="00EA1F9E">
        <w:t xml:space="preserve"> en zou de gemeente regels stellen in een gebied waar ze niet bevoegd is dat te doen.</w:t>
      </w:r>
    </w:p>
    <w:p w14:paraId="0054E461" w14:textId="77777777" w:rsidR="003D63AC" w:rsidRDefault="003D63AC" w:rsidP="003D63AC"/>
    <w:p w14:paraId="53CA13EF" w14:textId="77777777" w:rsidR="003D63AC" w:rsidRPr="00141417" w:rsidRDefault="003D63AC" w:rsidP="003D63AC">
      <w:pPr>
        <w:rPr>
          <w:u w:val="single"/>
        </w:rPr>
      </w:pPr>
      <w:r w:rsidRPr="00141417">
        <w:rPr>
          <w:u w:val="single"/>
        </w:rPr>
        <w:t>Hoofdregel</w:t>
      </w:r>
    </w:p>
    <w:p w14:paraId="43C3B24D" w14:textId="1B0EA86D" w:rsidR="003F5822" w:rsidRDefault="003D63AC" w:rsidP="003D63AC">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5F2F9F3E" w14:textId="459C0E1D" w:rsidR="003D63AC" w:rsidRDefault="003D63AC" w:rsidP="003D63AC"/>
    <w:p w14:paraId="40FCE710" w14:textId="77777777" w:rsidR="003D63AC" w:rsidRPr="00141417" w:rsidRDefault="003D63AC" w:rsidP="003D63AC">
      <w:pPr>
        <w:rPr>
          <w:u w:val="single"/>
        </w:rPr>
      </w:pPr>
      <w:r w:rsidRPr="00141417">
        <w:rPr>
          <w:u w:val="single"/>
        </w:rPr>
        <w:t>Specifieke regels</w:t>
      </w:r>
    </w:p>
    <w:p w14:paraId="41392CF9" w14:textId="77777777" w:rsidR="003D63AC" w:rsidRDefault="003D63AC" w:rsidP="003D63AC">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497F3655" w14:textId="77777777" w:rsidR="003D63AC" w:rsidRDefault="003D63AC" w:rsidP="003D63AC"/>
    <w:p w14:paraId="3054279B" w14:textId="1A7BBB82" w:rsidR="003D63AC" w:rsidRPr="008446B7" w:rsidRDefault="003D63AC" w:rsidP="003D63AC">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Daarvoor geldt de specifieke regel voor die relatie van paragraaf </w:t>
      </w:r>
      <w:r>
        <w:fldChar w:fldCharType="begin"/>
      </w:r>
      <w:r>
        <w:instrText xml:space="preserve"> REF _Ref_5bc48cbcc56d673051531eadd6253b78_2 \n \h </w:instrText>
      </w:r>
      <w:r>
        <w:fldChar w:fldCharType="separate"/>
      </w:r>
      <w:r w:rsidR="009932C2">
        <w:t>7.6.4.4</w:t>
      </w:r>
      <w:r>
        <w:fldChar w:fldCharType="end"/>
      </w:r>
      <w:r>
        <w:t xml:space="preserve">. Die </w:t>
      </w:r>
      <w:r w:rsidRPr="00267ADE">
        <w:t>specifieke regel</w:t>
      </w:r>
      <w:r>
        <w:t xml:space="preserve"> komt er op neer dat de </w:t>
      </w:r>
      <w:r w:rsidRPr="009330BA">
        <w:rPr>
          <w:i/>
          <w:iCs/>
        </w:rPr>
        <w:t>bovenliggendeActiviteit</w:t>
      </w:r>
      <w:r>
        <w:t xml:space="preserve"> moet verwijzen naar de </w:t>
      </w:r>
      <w:r w:rsidRPr="005A57E1">
        <w:t>tophaak-Activiteit van</w:t>
      </w:r>
      <w:r>
        <w:t xml:space="preserve"> de hoofdregeling waaraan het tijdelijk regelingdeel is gekoppeld. Zie hiervoor ook de toelichting op die regel in paragraaf </w:t>
      </w:r>
      <w:r>
        <w:fldChar w:fldCharType="begin"/>
      </w:r>
      <w:r>
        <w:instrText xml:space="preserve"> REF _Ref150764739 \n \h </w:instrText>
      </w:r>
      <w:r>
        <w:fldChar w:fldCharType="separate"/>
      </w:r>
      <w:r w:rsidR="009932C2">
        <w:t>7.6.5.3</w:t>
      </w:r>
      <w:r>
        <w:fldChar w:fldCharType="end"/>
      </w:r>
      <w:r>
        <w:t>. De uitzonderingen betreffende het tijdelijk regelingdeel gelden voor de tijdelijk regelingdelen die door voorbereidingsbesluit, reactieve interventie dan wel projectbesluit worden ingesteld. Voor alle duidelijkheid: deze uitzonderingen gelden niet voor de RegelingVrijetekst die het vrijetekstgedeelte van het projectbesluit bevat.</w:t>
      </w:r>
    </w:p>
    <w:p w14:paraId="27803F26" w14:textId="77777777" w:rsidR="003D63AC" w:rsidRDefault="003D63AC" w:rsidP="003D63AC"/>
    <w:p w14:paraId="7E036679" w14:textId="6A596097" w:rsidR="003D63AC" w:rsidRDefault="003D63AC" w:rsidP="003D63AC">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Voor deze relatie gelden </w:t>
      </w:r>
      <w:r>
        <w:lastRenderedPageBreak/>
        <w:t xml:space="preserve">de specifieke regels van paragraaf </w:t>
      </w:r>
      <w:r>
        <w:fldChar w:fldCharType="begin"/>
      </w:r>
      <w:r>
        <w:instrText xml:space="preserve"> REF _Ref_1da63897371d3a4f1bf4e0f1b4fb7f8d_2 \n \h </w:instrText>
      </w:r>
      <w:r>
        <w:fldChar w:fldCharType="separate"/>
      </w:r>
      <w:r w:rsidR="009932C2">
        <w:t>7.6.4.3</w:t>
      </w:r>
      <w:r>
        <w:fldChar w:fldCharType="end"/>
      </w:r>
      <w:r>
        <w:t xml:space="preserve">. Die komen er voor </w:t>
      </w:r>
      <w:r w:rsidRPr="002275E6">
        <w:t>omgevingsverordening</w:t>
      </w:r>
      <w:r>
        <w:t>,</w:t>
      </w:r>
      <w:r w:rsidRPr="002275E6">
        <w:t xml:space="preserve"> waterschapsverordening</w:t>
      </w:r>
      <w:r>
        <w:t xml:space="preserve"> en</w:t>
      </w:r>
      <w:r w:rsidRPr="002275E6">
        <w:t xml:space="preserve"> omgevingsplan </w:t>
      </w:r>
      <w:r>
        <w:t xml:space="preserve">op neer dat </w:t>
      </w:r>
      <w:r w:rsidRPr="008B64AD">
        <w:t xml:space="preserve">de relatie </w:t>
      </w:r>
      <w:r w:rsidRPr="009330BA">
        <w:rPr>
          <w:i/>
          <w:iCs/>
        </w:rPr>
        <w:t>bovenliggendeActiviteit</w:t>
      </w:r>
      <w:r>
        <w:t xml:space="preserve"> van de tophaak-Activiteit moet verwijzen naar de </w:t>
      </w:r>
      <w:r w:rsidRPr="00860BA7">
        <w:t>‘Activiteit gereguleerd in</w:t>
      </w:r>
      <w:r>
        <w:t xml:space="preserve"> de omgevingsverordening/de waterschapsverordening/het omgevingsplan’. D</w:t>
      </w:r>
      <w:r w:rsidRPr="008B64AD">
        <w:t xml:space="preserve">e relatie </w:t>
      </w:r>
      <w:r w:rsidRPr="009330BA">
        <w:rPr>
          <w:i/>
          <w:iCs/>
        </w:rPr>
        <w:t>bovenliggendeActiviteit</w:t>
      </w:r>
      <w:r>
        <w:t xml:space="preserve"> van alle andere Activiteiten in </w:t>
      </w:r>
      <w:r w:rsidRPr="001161D9">
        <w:t xml:space="preserve">omgevingsverordening, waterschapsverordening en omgevingsplan </w:t>
      </w:r>
      <w:r>
        <w:t xml:space="preserve">mag alleen </w:t>
      </w:r>
      <w:r w:rsidRPr="002275E6">
        <w:t>verwijzen naar een Activiteit die hoort bij dezelfde Regeling</w:t>
      </w:r>
      <w:r>
        <w:t xml:space="preserve">. Voor AMvB en </w:t>
      </w:r>
      <w:r w:rsidRPr="00D51388">
        <w:t>ministeriële regeling</w:t>
      </w:r>
      <w:r>
        <w:t xml:space="preserve"> gelden eigen regels.</w:t>
      </w:r>
    </w:p>
    <w:p w14:paraId="637F2FB5" w14:textId="77777777" w:rsidR="003D63AC" w:rsidRPr="008446B7" w:rsidRDefault="003D63AC" w:rsidP="003D63AC"/>
    <w:p w14:paraId="2156276B" w14:textId="77777777" w:rsidR="003D63AC" w:rsidRPr="00141417" w:rsidRDefault="003D63AC" w:rsidP="003D63AC">
      <w:pPr>
        <w:rPr>
          <w:u w:val="single"/>
        </w:rPr>
      </w:pPr>
      <w:r w:rsidRPr="00141417">
        <w:rPr>
          <w:u w:val="single"/>
        </w:rPr>
        <w:t>Aandachtspunten</w:t>
      </w:r>
      <w:r>
        <w:rPr>
          <w:u w:val="single"/>
        </w:rPr>
        <w:t xml:space="preserve"> bij verwijzen naar OW-objecten in Regeling van hetzelfde bevoegd gezag</w:t>
      </w:r>
    </w:p>
    <w:p w14:paraId="01330699" w14:textId="77777777" w:rsidR="003D63AC" w:rsidRDefault="003D63AC" w:rsidP="003D63AC">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1D90BD14" w14:textId="77777777" w:rsidR="003D63AC" w:rsidRDefault="003D63AC" w:rsidP="003D63AC">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54B26329" w14:textId="77777777" w:rsidR="003D63AC" w:rsidRDefault="003D63AC" w:rsidP="003D63AC">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5A92F864" w14:textId="77777777" w:rsidR="003D63AC" w:rsidRDefault="003D63AC" w:rsidP="003D63AC">
      <w:pPr>
        <w:pStyle w:val="Kader"/>
      </w:pPr>
      <w:r w:rsidRPr="00B26823">
        <w:rPr>
          <w:noProof/>
        </w:rPr>
        <mc:AlternateContent>
          <mc:Choice Requires="wps">
            <w:drawing>
              <wp:inline distT="0" distB="0" distL="0" distR="0" wp14:anchorId="31333C6B" wp14:editId="15A196E3">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03B99523" w14:textId="77777777" w:rsidR="003D63AC" w:rsidRPr="00141417" w:rsidRDefault="003D63AC" w:rsidP="003D63AC">
                            <w:pPr>
                              <w:rPr>
                                <w:b/>
                                <w:bCs/>
                                <w:u w:val="single"/>
                              </w:rPr>
                            </w:pPr>
                            <w:r w:rsidRPr="00141417">
                              <w:rPr>
                                <w:b/>
                                <w:bCs/>
                                <w:u w:val="single"/>
                              </w:rPr>
                              <w:t>Tijdelijke maatregel</w:t>
                            </w:r>
                          </w:p>
                          <w:p w14:paraId="019B1F1C" w14:textId="77777777" w:rsidR="003D63AC" w:rsidRDefault="003D63AC" w:rsidP="003D63AC">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7051BE9" w14:textId="77777777" w:rsidR="003D63AC" w:rsidRDefault="003D63AC" w:rsidP="003D63AC"/>
                          <w:p w14:paraId="5A0C8FF6" w14:textId="77777777" w:rsidR="003D63AC" w:rsidRPr="00141417" w:rsidRDefault="003D63AC" w:rsidP="003D63AC">
                            <w:pPr>
                              <w:rPr>
                                <w:b/>
                                <w:bCs/>
                              </w:rPr>
                            </w:pPr>
                            <w:r w:rsidRPr="00141417">
                              <w:rPr>
                                <w:b/>
                                <w:bCs/>
                              </w:rPr>
                              <w:t>Workaround</w:t>
                            </w:r>
                          </w:p>
                          <w:p w14:paraId="2EFBBF43" w14:textId="10151C23" w:rsidR="003D63AC" w:rsidRPr="00C352EA" w:rsidRDefault="003D63AC" w:rsidP="003D63AC">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9932C2">
                              <w:rPr>
                                <w:b/>
                                <w:bCs/>
                              </w:rPr>
                              <w:t>Fout! Verwijzingsbron niet gevonden.</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333C6B" id="Tekstvak 456554761" o:spid="_x0000_s104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H/MAIAAFs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INj48dr6l8AxCO9jPirVw2iP8gfHgWDkOBBjHo4QlHpQlF0UHirCb362/30R9cwcpZhyEr&#10;uMEWcKa/G3D4ZTCKqIWkjG4+D6G4S8v60mK27YLQ5wALZWUSo3/QR7Fy1L5iG+YxJ0zCSGQueDiK&#10;i7AffGyTVPN5csIUWhEezMrKGPqI6kv/Kpw9sBVA9CMdh1FM3pG2940vvZ1vA6hLjEaY95ge0McE&#10;J3IO2xZX5FJPXud/wuw3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axmH/MAIAAFsEAAAOAAAAAAAAAAAAAAAAAC4CAABk&#10;cnMvZTJvRG9jLnhtbFBLAQItABQABgAIAAAAIQDKCzcB3AAAAAUBAAAPAAAAAAAAAAAAAAAAAIoE&#10;AABkcnMvZG93bnJldi54bWxQSwUGAAAAAAQABADzAAAAkwUAAAAA&#10;" filled="f" strokeweight=".5pt">
                <v:textbox style="mso-fit-shape-to-text:t">
                  <w:txbxContent>
                    <w:p w14:paraId="03B99523" w14:textId="77777777" w:rsidR="003D63AC" w:rsidRPr="00141417" w:rsidRDefault="003D63AC" w:rsidP="003D63AC">
                      <w:pPr>
                        <w:rPr>
                          <w:b/>
                          <w:bCs/>
                          <w:u w:val="single"/>
                        </w:rPr>
                      </w:pPr>
                      <w:r w:rsidRPr="00141417">
                        <w:rPr>
                          <w:b/>
                          <w:bCs/>
                          <w:u w:val="single"/>
                        </w:rPr>
                        <w:t>Tijdelijke maatregel</w:t>
                      </w:r>
                    </w:p>
                    <w:p w14:paraId="019B1F1C" w14:textId="77777777" w:rsidR="003D63AC" w:rsidRDefault="003D63AC" w:rsidP="003D63AC">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7051BE9" w14:textId="77777777" w:rsidR="003D63AC" w:rsidRDefault="003D63AC" w:rsidP="003D63AC"/>
                    <w:p w14:paraId="5A0C8FF6" w14:textId="77777777" w:rsidR="003D63AC" w:rsidRPr="00141417" w:rsidRDefault="003D63AC" w:rsidP="003D63AC">
                      <w:pPr>
                        <w:rPr>
                          <w:b/>
                          <w:bCs/>
                        </w:rPr>
                      </w:pPr>
                      <w:r w:rsidRPr="00141417">
                        <w:rPr>
                          <w:b/>
                          <w:bCs/>
                        </w:rPr>
                        <w:t>Workaround</w:t>
                      </w:r>
                    </w:p>
                    <w:p w14:paraId="2EFBBF43" w14:textId="10151C23" w:rsidR="003D63AC" w:rsidRPr="00C352EA" w:rsidRDefault="003D63AC" w:rsidP="003D63AC">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9932C2">
                        <w:rPr>
                          <w:b/>
                          <w:bCs/>
                        </w:rPr>
                        <w:t>Fout! Verwijzingsbron niet gevonden.</w:t>
                      </w:r>
                      <w:r>
                        <w:fldChar w:fldCharType="end"/>
                      </w:r>
                      <w:r>
                        <w:t>.</w:t>
                      </w:r>
                    </w:p>
                  </w:txbxContent>
                </v:textbox>
                <w10:anchorlock/>
              </v:shape>
            </w:pict>
          </mc:Fallback>
        </mc:AlternateContent>
      </w:r>
    </w:p>
    <w:p w14:paraId="23224ADE" w14:textId="71D21B77" w:rsidR="00C94A0D" w:rsidRPr="006E4B54" w:rsidRDefault="00C94A0D" w:rsidP="00C94A0D">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