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457" w:name="_Ref_3a5c3daf94a936f7d1a83be4092a7a99_1"/>
      <w:bookmarkStart w:id="459" w:name="_Ref_3a5c3daf94a936f7d1a83be4092a7a99_2"/>
      <w:r>
        <w:t>Soort procedure en consolidatie</w:t>
      </w:r>
      <w:bookmarkEnd w:id="457"/>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C8772C"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4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C0KwIAAFs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bnjLVRHBMJBPyPe8rXC/I/MhxfmcCiwQRz08IyH1IBFwUmipAb362/30R+5QislLQ5ZSQ1uASX6&#10;u0EO78bTaZzJpExvvkxQcdeW7bXF7JsVYJ9jXCjLkxj9gx5E6aB5w21YxjfRxAzHl0saBnEV+sHH&#10;beJiuUxOOIWWhUezsTymHlB97d6Ysye2AhL9BMMwsuIdab1vjPR2uQ9IXWI0wtxjekIfJziRc9q2&#10;uCLXevK6/BM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OsS8LQ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