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492" w:name="_Ref_0cf8570354de666b8084cb7b4fef55e9_1"/>
      <w:r>
        <w:lastRenderedPageBreak/>
        <w:t>Juridisch kader</w:t>
      </w:r>
      <w:bookmarkEnd w:id="492"/>
    </w:p>
    <w:p w14:paraId="2E285808" w14:textId="15779A87" w:rsidR="00C8772C"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41"/>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42"/>
      </w:r>
      <w:r w:rsidR="00112579">
        <w:t>.</w:t>
      </w:r>
    </w:p>
    <w:p w14:paraId="6C14AD67" w14:textId="286FE7B7" w:rsidR="00C8772C" w:rsidRDefault="00112579" w:rsidP="00112579">
      <w:r w:rsidRPr="001D5AA5">
        <w:t xml:space="preserve">Bij het vaststellen van een </w:t>
      </w:r>
      <w:r w:rsidR="00F74272" w:rsidRPr="00F74272">
        <w:t xml:space="preserve">omgevingsverordening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43"/>
      </w:r>
      <w:r w:rsidRPr="001D5AA5">
        <w:t>.</w:t>
      </w:r>
    </w:p>
    <w:p w14:paraId="59F01CEC" w14:textId="704D35BC"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44"/>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45"/>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46"/>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E530C4" w:rsidP="00112579">
      <w:r w:rsidRPr="008E54A5">
        <w:t>Dat er geen wettelijke verplichting geldt, betekent niet dat de provincie 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