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DD5A3A" w:rsidRPr="007B60F8" w:rsidRDefault="00B71AF1" w:rsidP="007D5679">
      <w:pPr>
        <w:pStyle w:val="Kop5"/>
      </w:pPr>
      <w:r w:rsidRPr="007B60F8">
        <w:t>Raadplegen in het officiële publicatieblad</w:t>
      </w:r>
    </w:p>
    <w:p w14:paraId="2131A589" w14:textId="1F4CF997" w:rsidR="00DD5A3A" w:rsidRPr="007B60F8" w:rsidRDefault="00B71AF1">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DD5A3A" w:rsidRPr="007B60F8" w:rsidRDefault="00B71AF1">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DD5A3A" w:rsidRPr="007B60F8" w:rsidRDefault="00B71AF1">
      <w:r w:rsidRPr="007B60F8">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