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DD5A3A" w:rsidRDefault="00B71AF1" w:rsidP="00713915">
      <w:pPr>
        <w:pStyle w:val="Kop3"/>
      </w:pPr>
      <w:bookmarkEnd w:id="58"/>
      <w:r>
        <w:t>Modellen voor Besluit en Regeling en tekststructuren</w:t>
      </w:r>
    </w:p>
    <w:p w14:paraId="5F063A77" w14:textId="52FAEE3B" w:rsidR="00DD5A3A" w:rsidRDefault="00B71AF1"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 xml:space="preserve">en de tekststructuren. Beide spelen een belangrijke rol bij het opstellen en aanleveren van </w:t>
      </w:r>
      <w:r>
        <w:lastRenderedPageBreak/>
        <w:t xml:space="preserve">omgevingsdocumenten. </w:t>
      </w:r>
      <w:r w:rsidRPr="0066346F">
        <w:t>De TPOD-standaard geeft daarvan per type omgevingsdocument een specificatie: welk model moet worden gebruikt en hoe moet dat model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