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DD5A3A" w:rsidRDefault="00B71AF1" w:rsidP="00713915">
      <w:pPr>
        <w:pStyle w:val="Kop4"/>
      </w:pPr>
      <w:r>
        <w:t>Modellen voor Besluit en Regeling</w:t>
      </w:r>
    </w:p>
    <w:p w14:paraId="0187F750" w14:textId="4E394E52" w:rsidR="00DD5A3A" w:rsidRDefault="00B71AF1" w:rsidP="00713915">
      <w:r>
        <w:t xml:space="preserve">Er zijn modellen voor </w:t>
      </w:r>
      <w:r w:rsidRPr="00705AEE">
        <w:t xml:space="preserve">het Besluit </w:t>
      </w:r>
      <w:r>
        <w:t xml:space="preserve">en modellen voor </w:t>
      </w:r>
      <w:r w:rsidRPr="00705AEE">
        <w:t>de Regeling</w:t>
      </w:r>
      <w:r>
        <w:t xml:space="preserve">. De </w:t>
      </w:r>
      <w:r w:rsidRPr="002B5A1D">
        <w:t>STOP/TPOD-standaard</w:t>
      </w:r>
      <w:r>
        <w:t xml:space="preserve"> kent v</w:t>
      </w:r>
      <w:r w:rsidRPr="00F22697">
        <w:t xml:space="preserve">oor het Besluit de modellen BesluitKlassiek en BesluitCompact. </w:t>
      </w:r>
      <w:r>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Pr="00AE64EF">
        <w:t>gemeente</w:t>
      </w:r>
      <w:r>
        <w:t>,</w:t>
      </w:r>
      <w:r w:rsidRPr="00AE64EF">
        <w:t xml:space="preserve"> waterschap en </w:t>
      </w:r>
      <w:r>
        <w:t xml:space="preserve">provincie,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een reactieve interventie </w:t>
      </w:r>
      <w:r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8310EB">
          <w:t>de omgevingsvisie</w:t>
        </w:r>
      </w:fldSimple>
      <w:r>
        <w:t xml:space="preserve"> van toepassing zijn.</w:t>
      </w:r>
    </w:p>
    <w:p w14:paraId="58277295" w14:textId="28479D3D" w:rsidR="00DD5A3A" w:rsidRPr="00C63D3C" w:rsidRDefault="00B71AF1" w:rsidP="00713915">
      <w:pPr>
        <w:rPr>
          <w:b/>
          <w:bCs/>
        </w:rPr>
      </w:pPr>
      <w:r>
        <w:t xml:space="preserve">De modellen voor Regeling en Besluit die in het geval van </w:t>
      </w:r>
      <w:fldSimple w:instr=" DOCVARIABLE ID01+ ">
        <w:r w:rsidR="008310EB">
          <w:t>de omgevingsvisie</w:t>
        </w:r>
      </w:fldSimple>
      <w:r>
        <w:t xml:space="preserve"> gebruikt moeten worden, zijn in detail beschreven in paragraaf </w:t>
      </w:r>
      <w:r w:rsidR="00891A2E">
        <w:rPr>
          <w:rStyle w:val="Verwijzing"/>
        </w:rPr>
        <w:fldChar w:fldCharType="begin"/>
      </w:r>
      <w:r w:rsidR="00891A2E">
        <w:instrText xml:space="preserve"> REF _Ref_e03fc517d9180249ae61dff583f3ded1_1 \n \h </w:instrText>
      </w:r>
      <w:r w:rsidR="00891A2E">
        <w:rPr>
          <w:rStyle w:val="Verwijzing"/>
        </w:rPr>
      </w:r>
      <w:r w:rsidR="00891A2E">
        <w:rPr>
          <w:rStyle w:val="Verwijzing"/>
        </w:rPr>
        <w:fldChar w:fldCharType="separate"/>
      </w:r>
      <w:r w:rsidR="008310EB">
        <w:t>4.4</w:t>
      </w:r>
      <w:r w:rsidR="00891A2E">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