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4EDA2" w14:textId="77777777" w:rsidR="00DD5A3A" w:rsidRPr="00F03DD9" w:rsidRDefault="00B71AF1" w:rsidP="00C647A6">
      <w:pPr>
        <w:pStyle w:val="Kop3"/>
      </w:pPr>
      <w:r w:rsidRPr="00F03DD9">
        <w:t>Annoteren wanneer een deel van norm of beleid in een bijlage staat</w:t>
      </w:r>
    </w:p>
    <w:p w14:paraId="559D1BA5" w14:textId="18735B20" w:rsidR="00DD5A3A" w:rsidRPr="00F03DD9" w:rsidRDefault="00B71AF1" w:rsidP="00C647A6">
      <w:r w:rsidRPr="00F03DD9">
        <w:t xml:space="preserve">Zoals hiervoor al een aantal keren is opgemerkt wordt het annoteren met </w:t>
      </w:r>
      <w:r>
        <w:t>OW-object</w:t>
      </w:r>
      <w:r w:rsidRPr="00F03DD9">
        <w:t xml:space="preserve">en alleen toegepast op het </w:t>
      </w:r>
      <w:r>
        <w:t>Lichaam van de Regeling</w:t>
      </w:r>
      <w:r w:rsidRPr="00F03DD9">
        <w:t xml:space="preserve"> van omgevingsdocumenten, oftewel het onderdeel dat de artikelen respectievelijk de </w:t>
      </w:r>
      <w:r>
        <w:t>inhoudelijke (</w:t>
      </w:r>
      <w:r w:rsidRPr="00F03DD9">
        <w:t>beleids</w:t>
      </w:r>
      <w:r>
        <w:t>)</w:t>
      </w:r>
      <w:r w:rsidRPr="00F03DD9">
        <w:t xml:space="preserve">teksten bevat. Bij dat </w:t>
      </w:r>
      <w:r w:rsidRPr="00F03DD9">
        <w:lastRenderedPageBreak/>
        <w:t>inhoudelijke deel kunnen bijlagen worden gevoegd</w:t>
      </w:r>
      <w:r>
        <w:t>.</w:t>
      </w:r>
      <w:r w:rsidRPr="00F03DD9">
        <w:t xml:space="preserve"> </w:t>
      </w:r>
      <w:r>
        <w:t>A</w:t>
      </w:r>
      <w:r w:rsidRPr="00F03DD9">
        <w:t xml:space="preserve">an (onderdelen van) bijlagen kunnen geen annotaties worden toegevoegd. In omgevingsdocumenten met Artikelstructuur kunnen </w:t>
      </w:r>
      <w:r>
        <w:t xml:space="preserve">Locatie en </w:t>
      </w:r>
      <w:r w:rsidRPr="00F03DD9">
        <w:t xml:space="preserve">de domeinspecifieke annotaties (Activiteit, Omgevingsnorm, Omgevingswaarde en Gebiedsaanwijzing) immers alleen gekoppeld worden aan het </w:t>
      </w:r>
      <w:r>
        <w:t>OW-object</w:t>
      </w:r>
      <w:r w:rsidRPr="00F03DD9">
        <w:t xml:space="preserve"> Juridische regel. Het object Juridische regel kan alleen </w:t>
      </w:r>
      <w:r>
        <w:t xml:space="preserve">worden toegepast op </w:t>
      </w:r>
      <w:r w:rsidRPr="00F03DD9">
        <w:t xml:space="preserve">een artikel of een lid en niet </w:t>
      </w:r>
      <w:r>
        <w:t>op (onderdelen van)</w:t>
      </w:r>
      <w:r w:rsidRPr="00F03DD9">
        <w:t xml:space="preserve"> een bijlage. Datzelfde geldt voor omgevingsdocumenten met Vrijetekststructuur: daar kan de domeinspecifieke annotatie (i.c. Gebiedsaanwijzing) alleen gekoppeld worden aan het </w:t>
      </w:r>
      <w:r>
        <w:t>OW-object</w:t>
      </w:r>
      <w:r w:rsidRPr="00F03DD9">
        <w:t xml:space="preserve"> </w:t>
      </w:r>
      <w:r>
        <w:t>T</w:t>
      </w:r>
      <w:r w:rsidRPr="00F03DD9">
        <w:t>ekst</w:t>
      </w:r>
      <w:r>
        <w:t>deel</w:t>
      </w:r>
      <w:r w:rsidRPr="00F03DD9">
        <w:t xml:space="preserve">. Het object </w:t>
      </w:r>
      <w:r>
        <w:t>Tekstdeel</w:t>
      </w:r>
      <w:r w:rsidRPr="00F03DD9">
        <w:t xml:space="preserve"> kan </w:t>
      </w:r>
      <w:r>
        <w:t xml:space="preserve">alleen </w:t>
      </w:r>
      <w:r w:rsidRPr="008E1E8E">
        <w:t xml:space="preserve">worden toegepast op </w:t>
      </w:r>
      <w:r w:rsidRPr="00F03DD9">
        <w:t xml:space="preserve">de (beleids)tekst van het omgevingsdocument en niet </w:t>
      </w:r>
      <w:r>
        <w:t>op (onderdelen van)</w:t>
      </w:r>
      <w:r w:rsidRPr="00F03DD9">
        <w:t xml:space="preserve"> </w:t>
      </w:r>
      <w:r>
        <w:t>een</w:t>
      </w:r>
      <w:r w:rsidRPr="00F03DD9">
        <w:t xml:space="preserve"> bijlage.</w:t>
      </w:r>
    </w:p>
    <w:p w14:paraId="18863963" w14:textId="77777777" w:rsidR="00DD5A3A" w:rsidRDefault="00DD5A3A" w:rsidP="00C647A6"/>
    <w:p w14:paraId="65A1A7B0" w14:textId="3A27B088" w:rsidR="00DD5A3A" w:rsidRPr="00F03DD9" w:rsidRDefault="00B71AF1" w:rsidP="00C647A6">
      <w:r w:rsidRPr="00F03DD9">
        <w:t xml:space="preserve">Er zijn situaties waarin het, bijvoorbeeld om redenen van leesbaarheid of vormgeving (denk aan lange lijsten en complexe tabellen), wenselijk is om onderdelen van een norm niet in het artikel van de norm maar in een bijlage te plaatsen. Voorbeelden van die onderdelen zijn de waarden van een omgevingsnorm of omgevingswaarde en de locaties waar een norm geldt. </w:t>
      </w:r>
      <w:r>
        <w:t>Ook i</w:t>
      </w:r>
      <w:r w:rsidRPr="00F03DD9">
        <w:t xml:space="preserve">n zo’n geval wordt </w:t>
      </w:r>
      <w:r>
        <w:t xml:space="preserve">een bijlage niet geannoteerd, maar worden </w:t>
      </w:r>
      <w:r w:rsidRPr="00F03DD9">
        <w:t xml:space="preserve">de annotaties aan het artikel (of lid) </w:t>
      </w:r>
      <w:r>
        <w:t>toegevoegd</w:t>
      </w:r>
      <w:r w:rsidRPr="00F03DD9">
        <w:t>. De mensleesbare informatie staat dan in de bijlage; de machineleesbare informatie is gekoppeld aan het artikel of lid. Een gebruiker merkt dat niet.</w:t>
      </w:r>
    </w:p>
    <w:p w14:paraId="05AB02C0" w14:textId="10778242" w:rsidR="00DD5A3A" w:rsidRPr="00F03DD9" w:rsidRDefault="00B71AF1" w:rsidP="00C647A6">
      <w:r w:rsidRPr="00F03DD9">
        <w:t xml:space="preserve">Deze systematiek kan worden toegepast bij het annoteren met Activiteit. Een voorbeeld is een artikel in een omgevingsplan waarin staat dat het ter plaatse van de functie Bedrijventerrein toegestaan is om de activiteiten te verrichten die in de bijlage zijn opgesomd. Ook bij het annoteren met de </w:t>
      </w:r>
      <w:r>
        <w:t>OW-object</w:t>
      </w:r>
      <w:r w:rsidRPr="00F03DD9">
        <w:t xml:space="preserve">en Omgevingsnorm en Omgevingswaarde kan dit principe worden toegepast. Er moet dan echter wel rekening mee gehouden worden dat de STOP/TPOD-standaard niet toestaat dat </w:t>
      </w:r>
      <w:r>
        <w:t>kwantitatieve</w:t>
      </w:r>
      <w:r w:rsidRPr="00F03DD9">
        <w:t xml:space="preserve"> </w:t>
      </w:r>
      <w:r>
        <w:t>respectievelijk</w:t>
      </w:r>
      <w:r w:rsidRPr="00F03DD9">
        <w:t xml:space="preserve"> kwalitatieve waarden die bij een norm horen zowel in de tekst als in </w:t>
      </w:r>
      <w:r>
        <w:t>GIO’s</w:t>
      </w:r>
      <w:r w:rsidRPr="00F03DD9">
        <w:t xml:space="preserve"> en het normwaarde-attribuut van Omgevingsnorm of Omgevingswaarde voorkomen. Wanneer de waarden in de tekst van de bijlage zijn geplaatst moet bij het annoteren </w:t>
      </w:r>
      <w:r>
        <w:t xml:space="preserve">van het artikel </w:t>
      </w:r>
      <w:r w:rsidRPr="00F03DD9">
        <w:t>met Omgevingsnorm of Omgevingswaarde gekozen worden voor het normwaarde-attribuut ‘</w:t>
      </w:r>
      <w:r w:rsidRPr="00F03DD9">
        <w:rPr>
          <w:i/>
          <w:iCs/>
        </w:rPr>
        <w:t>waardeInRegeltekst</w:t>
      </w:r>
      <w:r w:rsidRPr="00F03DD9">
        <w:t xml:space="preserve">’. Daarmee wordt een verwijzing gemaakt naar de tekst van het artikel dat de norm bevat; het artikel bevat dan weer de verwijzing naar de bijlage. </w:t>
      </w:r>
      <w:r>
        <w:t>Het</w:t>
      </w:r>
      <w:r w:rsidRPr="00F03DD9">
        <w:t xml:space="preserve"> GIO bevat in zo’n geval alleen de geometrie en geen waarden (en ook geen verwijzing naar de tekst, die kent alleen de TPOD-standaard). Dit geldt overigens ook wanneer </w:t>
      </w:r>
      <w:r w:rsidRPr="00FD01AB">
        <w:t>kwantitatieve</w:t>
      </w:r>
      <w:r w:rsidRPr="00FD01AB" w:rsidDel="00FD01AB">
        <w:t xml:space="preserve"> </w:t>
      </w:r>
      <w:r>
        <w:t>of</w:t>
      </w:r>
      <w:r w:rsidRPr="00F03DD9">
        <w:t xml:space="preserve"> kwalitatieve waarden in de tekst van het artikel staan; ook dan moet bij het annoteren met Omgevingsnorm of Omgevingswaarde gekozen worden voor het normwaarde-attribuut ‘</w:t>
      </w:r>
      <w:r w:rsidRPr="00F03DD9">
        <w:rPr>
          <w:i/>
          <w:iCs/>
        </w:rPr>
        <w:t>waardeInRegeltekst</w:t>
      </w:r>
      <w:r w:rsidRPr="00F03DD9">
        <w:t>’.</w:t>
      </w:r>
    </w:p>
    <w:p w14:paraId="4DAE00C2" w14:textId="1710147A" w:rsidR="00DD5A3A" w:rsidRDefault="00B71AF1" w:rsidP="00C647A6">
      <w:r w:rsidRPr="00F03DD9">
        <w:t xml:space="preserve">Hier kan nog worden opgemerkt dat het vanuit de standaard niet nodig is om te werken met waarden en locaties in een bijlage. De kenbaarheid is </w:t>
      </w:r>
      <w:r>
        <w:t xml:space="preserve">immers </w:t>
      </w:r>
      <w:r w:rsidRPr="00F03DD9">
        <w:t xml:space="preserve">afdoende juridisch geborgd wanneer die informatie in </w:t>
      </w:r>
      <w:r>
        <w:t>het GIO</w:t>
      </w:r>
      <w:r w:rsidRPr="00F03DD9">
        <w:t xml:space="preserve"> is opgenomen. Vanuit dat principe volstaat het om de norm in het artikel op te nemen en de geometrie en de waarden in </w:t>
      </w:r>
      <w:r>
        <w:t>het GIO</w:t>
      </w:r>
      <w:r w:rsidRPr="00F03DD9">
        <w:t xml:space="preserve"> (en in het normwaarde-attribuut van Omgevingsnorm of Omgevingswaarde) vast te leggen.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