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84EA0" w14:textId="77777777" w:rsidR="003F0C15" w:rsidRPr="00E71C5C" w:rsidRDefault="003F0C15" w:rsidP="003F0C15">
      <w:pPr>
        <w:pStyle w:val="Kop5"/>
      </w:pPr>
      <w:bookmarkStart w:id="302" w:name="_Ref_0a504833f656f66dcc0cb5a87b7b3f00_1"/>
      <w:r>
        <w:t>B</w:t>
      </w:r>
      <w:r w:rsidRPr="00B226C4">
        <w:t xml:space="preserve">esluit mag alleen OW-objecten wijzigen die horen bij de Regeling die het besluit </w:t>
      </w:r>
      <w:r>
        <w:t>wijzigt</w:t>
      </w:r>
      <w:bookmarkEnd w:id="302"/>
    </w:p>
    <w:p w14:paraId="168D24CC" w14:textId="77777777" w:rsidR="003F0C15" w:rsidRDefault="003F0C15" w:rsidP="003F0C15">
      <w:r w:rsidRPr="00911DBD">
        <w:t>Een besluit wijzigt een regeling. Dat besluit mag alleen OW-objecten wijzigen die horen bij die regeling. Onder het wijzigen van OW-objecten verstaan we het wijzigen of laten vervallen van bestaande OW-objecten en het toevoegen van nieuwe OW-objecten. Een voorbeeld: Een provincie mag met een besluit tot wijziging van de omgevingsverordening wel de OW-objecten van die omgevingsverordening wijzigen, maar niet de OW-objecten van de omgevingsvisie, en ook niet de OW-objecten van de omgevingsverordening van een andere provincie.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