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DD5A3A" w:rsidRDefault="00B71AF1" w:rsidP="00DA44AF">
      <w:pPr>
        <w:pStyle w:val="Kop4"/>
      </w:pPr>
      <w:bookmarkStart w:id="351" w:name="_Ref_4d3ce944b9910c26e42f47c116163820_1"/>
      <w:r>
        <w:t>RegelingMetadata</w:t>
      </w:r>
      <w:bookmarkEnd w:id="351"/>
    </w:p>
    <w:p w14:paraId="5EA13CB7" w14:textId="77777777" w:rsidR="00DD5A3A" w:rsidRDefault="00B71AF1"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DD5A3A" w:rsidRDefault="00DD5A3A" w:rsidP="00E43714"/>
    <w:p w14:paraId="0E6CD52B" w14:textId="77777777" w:rsidR="00DD5A3A" w:rsidRPr="00073B3E" w:rsidRDefault="00B71AF1"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DD5A3A" w:rsidRDefault="00B71AF1"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DD5A3A" w:rsidRPr="00541BF1" w:rsidRDefault="00B71AF1"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DD5A3A" w:rsidRPr="0030473D" w:rsidRDefault="00B71AF1"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DD5A3A" w:rsidRDefault="00B71AF1"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De officiële titel moet gelijk zijn aan het RegelingOpschrift van de regeling.</w:t>
      </w:r>
    </w:p>
    <w:p w14:paraId="387346C2" w14:textId="0883C9A3" w:rsidR="00DD5A3A" w:rsidRDefault="00B71AF1"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w:t>
      </w:r>
      <w:r>
        <w:lastRenderedPageBreak/>
        <w:t xml:space="preserve">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396E5CF0" w:rsidR="00DD5A3A" w:rsidRDefault="00B71AF1"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DD5A3A" w:rsidRDefault="00B71AF1"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DD5A3A" w:rsidRDefault="00B71AF1"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DD5A3A" w:rsidRDefault="00B71AF1" w:rsidP="00E43714">
      <w:pPr>
        <w:pStyle w:val="Opsommingtekens1"/>
      </w:pPr>
      <w:r w:rsidRPr="00FE79C4">
        <w:rPr>
          <w:i/>
          <w:iCs/>
        </w:rPr>
        <w:t>opvolgerVan</w:t>
      </w:r>
      <w:r>
        <w:t xml:space="preserve">: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w:t>
      </w:r>
      <w:r>
        <w:lastRenderedPageBreak/>
        <w:t>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DD5A3A" w:rsidRDefault="00B71AF1"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DD5A3A" w:rsidRDefault="00B71AF1" w:rsidP="00E43714">
      <w:pPr>
        <w:pStyle w:val="Figuur"/>
      </w:pPr>
      <w:r>
        <w:rPr>
          <w:noProof/>
        </w:rPr>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DD5A3A" w:rsidRDefault="00B71AF1" w:rsidP="00E43714">
      <w:pPr>
        <w:pStyle w:val="Figuurbijschrift"/>
      </w:pPr>
      <w:r w:rsidRPr="005C5500">
        <w:t>Voorbeeld van de grondslag voor</w:t>
      </w:r>
      <w:r>
        <w:t xml:space="preserve"> het omgevingsplan</w:t>
      </w:r>
    </w:p>
    <w:p w14:paraId="3FD69C5A" w14:textId="77777777" w:rsidR="00DD5A3A" w:rsidRDefault="00B71AF1"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DD5A3A" w:rsidRPr="00771B13" w:rsidRDefault="00B71AF1"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DD5A3A" w:rsidRPr="009A08A2" w:rsidRDefault="00B71AF1" w:rsidP="004E731F">
                            <w:pPr>
                              <w:rPr>
                                <w:b/>
                                <w:bCs/>
                              </w:rPr>
                            </w:pPr>
                            <w:r>
                              <w:rPr>
                                <w:b/>
                                <w:bCs/>
                              </w:rPr>
                              <w:t>Waarschuwing t</w:t>
                            </w:r>
                            <w:r w:rsidRPr="009A08A2">
                              <w:rPr>
                                <w:b/>
                                <w:bCs/>
                              </w:rPr>
                              <w:t xml:space="preserve">oekomstige </w:t>
                            </w:r>
                            <w:r>
                              <w:rPr>
                                <w:b/>
                                <w:bCs/>
                              </w:rPr>
                              <w:t>wijziging TPOD-standaard</w:t>
                            </w:r>
                          </w:p>
                          <w:p w14:paraId="4BBB2D4A" w14:textId="77777777" w:rsidR="00DD5A3A" w:rsidRDefault="00B71AF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3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YRDeJjACAABaBAAADgAAAAAAAAAAAAAAAAAuAgAAZHJz&#10;L2Uyb0RvYy54bWxQSwECLQAUAAYACAAAACEALfghbNoAAAAFAQAADwAAAAAAAAAAAAAAAACKBAAA&#10;ZHJzL2Rvd25yZXYueG1sUEsFBgAAAAAEAAQA8wAAAJEFAAAAAA==&#10;" filled="f" strokeweight=".5pt">
                <v:textbox style="mso-fit-shape-to-text:t">
                  <w:txbxContent>
                    <w:p w14:paraId="24C59A3F" w14:textId="77777777" w:rsidR="00DD5A3A" w:rsidRPr="009A08A2" w:rsidRDefault="00B71AF1" w:rsidP="004E731F">
                      <w:pPr>
                        <w:rPr>
                          <w:b/>
                          <w:bCs/>
                        </w:rPr>
                      </w:pPr>
                      <w:r>
                        <w:rPr>
                          <w:b/>
                          <w:bCs/>
                        </w:rPr>
                        <w:t>Waarschuwing t</w:t>
                      </w:r>
                      <w:r w:rsidRPr="009A08A2">
                        <w:rPr>
                          <w:b/>
                          <w:bCs/>
                        </w:rPr>
                        <w:t xml:space="preserve">oekomstige </w:t>
                      </w:r>
                      <w:r>
                        <w:rPr>
                          <w:b/>
                          <w:bCs/>
                        </w:rPr>
                        <w:t>wijziging TPOD-standaard</w:t>
                      </w:r>
                    </w:p>
                    <w:p w14:paraId="4BBB2D4A" w14:textId="77777777" w:rsidR="00DD5A3A" w:rsidRDefault="00B71AF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1"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