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5D18E" w14:textId="77777777" w:rsidR="00DD5A3A" w:rsidRDefault="00B71AF1" w:rsidP="00F57AE4">
      <w:pPr>
        <w:pStyle w:val="Kop5"/>
      </w:pPr>
      <w:bookmarkStart w:id="375" w:name="_Ref_82f64e84cfbb3a1c921750080dcba250_1"/>
      <w:r>
        <w:t>Juridisch kader</w:t>
      </w:r>
      <w:bookmarkEnd w:id="375"/>
    </w:p>
    <w:p w14:paraId="0C00BE45" w14:textId="678B39C9" w:rsidR="00DD5A3A" w:rsidRDefault="00B71AF1" w:rsidP="00321C84">
      <w:r>
        <w:t>Op de voorbereiding van de omgevingsvisie is afdeling 3.4 Awb van toepassing</w:t>
      </w:r>
      <w:r>
        <w:rPr>
          <w:rStyle w:val="Voetnootmarkering"/>
        </w:rPr>
        <w:footnoteReference w:id="16"/>
      </w:r>
      <w:r>
        <w:t xml:space="preserve">. </w:t>
      </w:r>
      <w:r w:rsidRPr="00331401">
        <w:t>Het van afdeling 3.4 Awb onderdeel uitmakende artikel</w:t>
      </w:r>
      <w:r>
        <w:t xml:space="preserve"> </w:t>
      </w:r>
      <w:r w:rsidRPr="006371BE">
        <w:t xml:space="preserve">3:11 lid 1 Awb luidt: “Het bestuursorgaan legt het ontwerp van het te nemen besluit, met de daarop betrekking hebbende stukken die redelijkerwijs nodig zijn voor een beoordeling van het ontwerp, ter inzage, </w:t>
      </w:r>
      <w:r w:rsidRPr="00214FE7">
        <w:rPr>
          <w:i/>
          <w:iCs/>
        </w:rPr>
        <w:t>met uitzondering van stukken waarvoor bij wettelijk voorschrift mededeling op de in artikel 12 van de Bekendmakingswet bepaalde wijze is voorgeschreven</w:t>
      </w:r>
      <w:r w:rsidRPr="006371BE">
        <w:t>.” In artikel 10.7a lid 1 Ob is die uitzondering vastgelegd: “Bij de voorbereiding van een gemeentelijke, provinciale of nationale omgevingsvisie waarop afdeling 3.4 van de Algemene wet bestuursrecht van toepassing is, wordt van het ontwerp mededeling gedaan in het gemeenteblad, het provinciaal blad respectievelijk de Staatscourant.”</w:t>
      </w:r>
      <w:r>
        <w:t xml:space="preserve"> Dat houdt in dat een publicatie van de volledige inhoud van het ontwerpbesluit in het </w:t>
      </w:r>
      <w:r w:rsidRPr="00144D61">
        <w:t xml:space="preserve">gemeenteblad, </w:t>
      </w:r>
      <w:r>
        <w:t xml:space="preserve">het provinciaal blad of </w:t>
      </w:r>
      <w:r w:rsidRPr="00B36850">
        <w:t xml:space="preserve">de Staatscourant </w:t>
      </w:r>
      <w:r>
        <w:t>wordt geplaatst</w:t>
      </w:r>
      <w:r>
        <w:rPr>
          <w:rStyle w:val="Voetnootmarkering"/>
        </w:rPr>
        <w:footnoteReference w:id="17"/>
      </w:r>
      <w:r>
        <w:t xml:space="preserve">. Het ontwerpbesluit zelf wordt dus niet ter inzage gelegd. Wel moet de gemeente, de provincie of het Rijk </w:t>
      </w:r>
      <w:r w:rsidRPr="00B407FB">
        <w:t xml:space="preserve">de op </w:t>
      </w:r>
      <w:r>
        <w:t xml:space="preserve">het ontwerp </w:t>
      </w:r>
      <w:r w:rsidRPr="00B407FB">
        <w:t>betrekking hebbende stukken die redelijkerwijs nodig zijn voor een beoordeling van het ontwerp, ter inzage</w:t>
      </w:r>
      <w:r>
        <w:t xml:space="preserve"> leggen. Die terinzagelegging geschiedt zowel op elektronische wijze als op een door gemeente, </w:t>
      </w:r>
      <w:r w:rsidRPr="00F364D9">
        <w:t xml:space="preserve">provincie </w:t>
      </w:r>
      <w:r>
        <w:t>of Rijk aan te wijzen locatie</w:t>
      </w:r>
      <w:r>
        <w:rPr>
          <w:rStyle w:val="Voetnootmarkering"/>
        </w:rPr>
        <w:footnoteReference w:id="18"/>
      </w:r>
      <w:r>
        <w:t>. De terinzagelegging vindt niet plaats in het publicatieblad van het bevoegd gezag</w:t>
      </w:r>
      <w:r>
        <w:rPr>
          <w:rStyle w:val="Voetnootmarkering"/>
        </w:rPr>
        <w:footnoteReference w:id="19"/>
      </w:r>
      <w:r>
        <w:t xml:space="preserve">. Dit betekent dat gemeente, </w:t>
      </w:r>
      <w:r w:rsidRPr="00F364D9">
        <w:t xml:space="preserve">provincie </w:t>
      </w:r>
      <w:r>
        <w:t xml:space="preserve">en Rijk moeten zorgen voor de elektronische terinzagelegging van </w:t>
      </w:r>
      <w:r w:rsidRPr="00003F91">
        <w:t>d</w:t>
      </w:r>
      <w:r>
        <w:t xml:space="preserve">e </w:t>
      </w:r>
      <w:r w:rsidRPr="00003F91">
        <w:t xml:space="preserve">op </w:t>
      </w:r>
      <w:r>
        <w:t xml:space="preserve">het ontwerpbesluit </w:t>
      </w:r>
      <w:r w:rsidRPr="00003F91">
        <w:t>betrekking hebbende stukken</w:t>
      </w:r>
      <w:r>
        <w:t xml:space="preserve"> en voor de terinzagelegging van die stukken op een fysieke locatie. O</w:t>
      </w:r>
      <w:r w:rsidRPr="009129C0">
        <w:t>p het ontwerp-besluit betrekking hebbende stukken</w:t>
      </w:r>
      <w:r>
        <w:t xml:space="preserve"> zullen vooral bestaan uit rapportages van uitgevoerde onderzoeken. </w:t>
      </w:r>
      <w:r w:rsidRPr="00CC06E8">
        <w:t xml:space="preserve">De terinzagelegging op een door </w:t>
      </w:r>
      <w:r w:rsidRPr="00782E01">
        <w:t xml:space="preserve">gemeente, provincie </w:t>
      </w:r>
      <w:r>
        <w:t>of</w:t>
      </w:r>
      <w:r w:rsidRPr="00782E01">
        <w:t xml:space="preserve"> Rijk </w:t>
      </w:r>
      <w:r w:rsidRPr="00CC06E8">
        <w:t xml:space="preserve">te bepalen locatie kan worden georganiseerd door op een in de kennisgeving aangegeven </w:t>
      </w:r>
      <w:r>
        <w:t xml:space="preserve">fysieke </w:t>
      </w:r>
      <w:r w:rsidRPr="00CC06E8">
        <w:t xml:space="preserve">locatie de mogelijkheid te bieden om op een beeldscherm </w:t>
      </w:r>
      <w:r w:rsidRPr="001C4B6F">
        <w:t xml:space="preserve">de op het ontwerp betrekking hebbende stukken </w:t>
      </w:r>
      <w:r w:rsidRPr="00CC06E8">
        <w:t>te raadplegen.</w:t>
      </w:r>
      <w:r>
        <w:t xml:space="preserve"> </w:t>
      </w:r>
      <w:r w:rsidRPr="000D2112">
        <w:t>Uiteraard is het ook mogelijk om alle stukken te printen en op een fysieke locatie klaar te leggen voor inzage.</w:t>
      </w:r>
    </w:p>
    <w:p w14:paraId="27EB3C5E" w14:textId="77777777" w:rsidR="00DD5A3A" w:rsidRDefault="00B71AF1" w:rsidP="00E024E5">
      <w:r w:rsidRPr="002C6818">
        <w:t xml:space="preserve">Voorafgaand aan de terinzagelegging </w:t>
      </w:r>
      <w:r w:rsidRPr="007F5A8E">
        <w:t xml:space="preserve">geeft </w:t>
      </w:r>
      <w:r>
        <w:t xml:space="preserve">gemeente, </w:t>
      </w:r>
      <w:r w:rsidRPr="00424A43">
        <w:t xml:space="preserve">provincie </w:t>
      </w:r>
      <w:r>
        <w:t xml:space="preserve">of Rijk </w:t>
      </w:r>
      <w:r w:rsidRPr="007F5A8E">
        <w:t>kennis van het ontwerp</w:t>
      </w:r>
      <w:r>
        <w:rPr>
          <w:rStyle w:val="Voetnootmarkering"/>
        </w:rPr>
        <w:footnoteReference w:id="20"/>
      </w:r>
      <w:r>
        <w:t xml:space="preserve"> </w:t>
      </w:r>
      <w:r w:rsidRPr="00676BBD">
        <w:t xml:space="preserve">in </w:t>
      </w:r>
      <w:r w:rsidRPr="00375898">
        <w:t>gemeenteblad, provinciaal blad of Staatscourant</w:t>
      </w:r>
      <w:r>
        <w:rPr>
          <w:rStyle w:val="Voetnootmarkering"/>
        </w:rPr>
        <w:footnoteReference w:id="21"/>
      </w:r>
      <w:r w:rsidRPr="007F5A8E">
        <w:t xml:space="preserve">. </w:t>
      </w:r>
      <w:r w:rsidRPr="00396043">
        <w:t>De kennisgeving vermeldt in ieder geval</w:t>
      </w:r>
      <w:r>
        <w:t>:</w:t>
      </w:r>
    </w:p>
    <w:p w14:paraId="06779853" w14:textId="77777777" w:rsidR="00DD5A3A" w:rsidRDefault="00B71AF1" w:rsidP="00E024E5">
      <w:pPr>
        <w:pStyle w:val="Opsommingtekens1"/>
      </w:pPr>
      <w:r w:rsidRPr="00280D33">
        <w:t>een zakelijke weergave van de inhoud</w:t>
      </w:r>
      <w:r>
        <w:t xml:space="preserve"> van het ontwerpbesluit</w:t>
      </w:r>
      <w:r>
        <w:rPr>
          <w:rStyle w:val="Voetnootmarkering"/>
        </w:rPr>
        <w:footnoteReference w:id="22"/>
      </w:r>
      <w:r>
        <w:t>;</w:t>
      </w:r>
    </w:p>
    <w:p w14:paraId="351B6824" w14:textId="77777777" w:rsidR="00DD5A3A" w:rsidRDefault="00B71AF1" w:rsidP="00E024E5">
      <w:pPr>
        <w:pStyle w:val="Opsommingtekens2"/>
      </w:pPr>
      <w:r w:rsidRPr="00E515C0">
        <w:t>een beschrijving van het betreffende object of de betreffende activiteit en, in voorkomend geval, de locatie daarvan;</w:t>
      </w:r>
    </w:p>
    <w:p w14:paraId="77770B8F" w14:textId="77777777" w:rsidR="00DD5A3A" w:rsidRDefault="00B71AF1" w:rsidP="00E024E5">
      <w:pPr>
        <w:pStyle w:val="Opsommingtekens2"/>
      </w:pPr>
      <w:r w:rsidRPr="00D875F8">
        <w:lastRenderedPageBreak/>
        <w:t>een zodanige beschrijving van het ontwerpbesluit en het beoogde rechtsgevolg daarvan dat potentiële belanghebbenden eruit kunnen afleiden in hoeverre zij in hun belangen worden geraakt</w:t>
      </w:r>
      <w:r>
        <w:t>;</w:t>
      </w:r>
    </w:p>
    <w:p w14:paraId="2D036F07" w14:textId="77777777" w:rsidR="00DD5A3A" w:rsidRDefault="00B71AF1" w:rsidP="00E024E5">
      <w:pPr>
        <w:pStyle w:val="Opsommingtekens1"/>
      </w:pPr>
      <w:r w:rsidRPr="003A0239">
        <w:t>de wijze waarop en de periode waarin de stukken waar de kennisgeving betrekking op heeft voor eenieder ter inzage liggen</w:t>
      </w:r>
      <w:r>
        <w:rPr>
          <w:rStyle w:val="Voetnootmarkering"/>
        </w:rPr>
        <w:footnoteReference w:id="23"/>
      </w:r>
      <w:r w:rsidRPr="003A0239">
        <w:t>;</w:t>
      </w:r>
    </w:p>
    <w:p w14:paraId="77C71F9B" w14:textId="77777777" w:rsidR="00DD5A3A" w:rsidRDefault="00B71AF1" w:rsidP="00E024E5">
      <w:pPr>
        <w:pStyle w:val="Opsommingtekens1"/>
      </w:pPr>
      <w:r w:rsidRPr="003A0239">
        <w:t>wie in de gelegenheid worden gesteld om zienswijzen naar voren te brengen</w:t>
      </w:r>
      <w:r>
        <w:rPr>
          <w:rStyle w:val="Voetnootmarkering"/>
        </w:rPr>
        <w:footnoteReference w:id="24"/>
      </w:r>
      <w:r w:rsidRPr="003A0239">
        <w:t>;</w:t>
      </w:r>
    </w:p>
    <w:p w14:paraId="2D1462C3" w14:textId="77777777" w:rsidR="00DD5A3A" w:rsidRDefault="00B71AF1" w:rsidP="00E024E5">
      <w:pPr>
        <w:pStyle w:val="Opsommingtekens1"/>
      </w:pPr>
      <w:r w:rsidRPr="003A0239">
        <w:t>op welke wijze dit kan geschieden</w:t>
      </w:r>
      <w:r>
        <w:rPr>
          <w:rStyle w:val="Voetnootmarkering"/>
        </w:rPr>
        <w:footnoteReference w:id="25"/>
      </w:r>
      <w:r>
        <w:t>.</w:t>
      </w:r>
    </w:p>
    <w:p w14:paraId="41311F4C" w14:textId="77777777" w:rsidR="00DD5A3A" w:rsidRDefault="00DD5A3A" w:rsidP="00321C84"/>
    <w:p w14:paraId="6AE27570" w14:textId="2DEC4E5E" w:rsidR="00DD5A3A" w:rsidRDefault="00B71AF1" w:rsidP="00F57AE4">
      <w:r>
        <w:t xml:space="preserve">Zienswijzen over het ontwerp kunnen </w:t>
      </w:r>
      <w:r w:rsidRPr="00730C98">
        <w:t>naar voren worden gebracht door eenieder</w:t>
      </w:r>
      <w:r>
        <w:rPr>
          <w:rStyle w:val="Voetnootmarkering"/>
        </w:rPr>
        <w:footnoteReference w:id="26"/>
      </w:r>
      <w:r>
        <w:t xml:space="preserve">. De termijn daarvoor bedraagt </w:t>
      </w:r>
      <w:r w:rsidRPr="00090C8F">
        <w:t>zes weken</w:t>
      </w:r>
      <w:r>
        <w:rPr>
          <w:rStyle w:val="Voetnootmarkering"/>
        </w:rPr>
        <w:footnoteReference w:id="27"/>
      </w:r>
      <w:r>
        <w:t>.</w:t>
      </w:r>
    </w:p>
    <w:p w14:paraId="6C6A08B6" w14:textId="0CC02FD1" w:rsidR="00DD5A3A" w:rsidRDefault="00DD5A3A" w:rsidP="00F57AE4"/>
    <w:p w14:paraId="5ACA59DE" w14:textId="07F668F3" w:rsidR="00DD5A3A" w:rsidRPr="00097730" w:rsidRDefault="00B71AF1" w:rsidP="00F57AE4">
      <w:r>
        <w:t xml:space="preserve">Om aan </w:t>
      </w:r>
      <w:r w:rsidRPr="00311265">
        <w:t>de hier genoemde</w:t>
      </w:r>
      <w:r w:rsidRPr="00311265" w:rsidDel="00311265">
        <w:t xml:space="preserve"> </w:t>
      </w:r>
      <w:r>
        <w:t xml:space="preserve">verplichtingen te voldoen moet gemeente, provincie of Rijk het ontwerpbesluit en de kennisgeving, met bijbehorende informatie, </w:t>
      </w:r>
      <w:r w:rsidRPr="008856E3">
        <w:t>conform de STOP/TPOD-standaard opstellen en aan de LVBB aanleveren</w:t>
      </w:r>
      <w:r>
        <w:t xml:space="preserve">. De aanlevering van het ontwerpbesluit is beschreven in paragraaf </w:t>
      </w:r>
      <w:r>
        <w:fldChar w:fldCharType="begin"/>
      </w:r>
      <w:r>
        <w:instrText xml:space="preserve"> REF _Ref_7776b0630636391298d1d2c001339339_1 \n \h </w:instrText>
      </w:r>
      <w:r>
        <w:fldChar w:fldCharType="separate"/>
      </w:r>
      <w:r w:rsidR="008310EB">
        <w:t>10.4.2.2</w:t>
      </w:r>
      <w:r>
        <w:fldChar w:fldCharType="end"/>
      </w:r>
      <w:r>
        <w:t xml:space="preserve">; de aanlevering van de kennisgeving in paragraaf </w:t>
      </w:r>
      <w:r>
        <w:fldChar w:fldCharType="begin"/>
      </w:r>
      <w:r>
        <w:instrText xml:space="preserve"> REF _Ref_490f8c4f1c0db0c542d0990fa5f1b2a6_1 \n \h </w:instrText>
      </w:r>
      <w:r>
        <w:fldChar w:fldCharType="separate"/>
      </w:r>
      <w:r w:rsidR="008310EB">
        <w:t>10.4.2.3</w:t>
      </w:r>
      <w:r>
        <w:fldChar w:fldCharType="end"/>
      </w:r>
      <w:r>
        <w:t xml:space="preserve">. </w:t>
      </w:r>
      <w:r w:rsidRPr="008151D6">
        <w:t xml:space="preserve">De elektronische terinzagelegging van de op het ontwerp betrekking hebbende stukken is het onderwerp van paragraaf </w:t>
      </w:r>
      <w:r>
        <w:rPr>
          <w:highlight w:val="yellow"/>
        </w:rPr>
        <w:fldChar w:fldCharType="begin"/>
      </w:r>
      <w:r>
        <w:instrText xml:space="preserve"> REF _Ref_0ecc79de1e81a8e14b6ba380a1501f34_1 \n \h </w:instrText>
      </w:r>
      <w:r>
        <w:rPr>
          <w:highlight w:val="yellow"/>
        </w:rPr>
      </w:r>
      <w:r>
        <w:rPr>
          <w:highlight w:val="yellow"/>
        </w:rPr>
        <w:fldChar w:fldCharType="separate"/>
      </w:r>
      <w:r w:rsidR="008310EB">
        <w:t>10.4.2.4</w:t>
      </w:r>
      <w:r>
        <w:rPr>
          <w:highlight w:val="yellow"/>
        </w:rPr>
        <w:fldChar w:fldCharType="end"/>
      </w:r>
      <w:r w:rsidRPr="008151D6">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