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5B" w14:textId="77777777" w:rsidR="00DD5A3A" w:rsidRPr="00EA6F9E" w:rsidRDefault="00B71AF1" w:rsidP="00A92876">
      <w:pPr>
        <w:pStyle w:val="Kop5"/>
      </w:pPr>
      <w:bookmarkStart w:id="386" w:name="_Ref_0ecc79de1e81a8e14b6ba380a1501f34_1"/>
      <w:r>
        <w:t xml:space="preserve">Terinzageleggen </w:t>
      </w:r>
      <w:r w:rsidRPr="00541BF1">
        <w:t>op het ontwerpbesluit betrekking hebbende stukken</w:t>
      </w:r>
      <w:bookmarkEnd w:id="386"/>
    </w:p>
    <w:p w14:paraId="0B3FC716" w14:textId="4854F4DC" w:rsidR="00DD5A3A" w:rsidRDefault="00B71AF1" w:rsidP="00A92876">
      <w:r>
        <w:t xml:space="preserve">Gemeente, provincie of Rijk </w:t>
      </w:r>
      <w:r w:rsidRPr="00FE2526">
        <w:t xml:space="preserve">moet </w:t>
      </w:r>
      <w:r>
        <w:t>eventuele</w:t>
      </w:r>
      <w:r w:rsidRPr="00FE2526">
        <w:t xml:space="preserve"> op het ontwerp betrekking hebbende stukken die redelijkerwijs nodig zijn voor een beoordeling van het ontwerp, ter inzage leggen.</w:t>
      </w:r>
    </w:p>
    <w:p w14:paraId="2BEF7548" w14:textId="7254FCCE" w:rsidR="00DD5A3A" w:rsidRDefault="00B71AF1" w:rsidP="00A92876">
      <w:r>
        <w:t xml:space="preserve">NB: Zoals in paragraaf </w:t>
      </w:r>
      <w:r>
        <w:fldChar w:fldCharType="begin"/>
      </w:r>
      <w:r>
        <w:instrText xml:space="preserve"> REF _Ref_82f64e84cfbb3a1c921750080dcba250_1 \n \h </w:instrText>
      </w:r>
      <w:r>
        <w:fldChar w:fldCharType="separate"/>
      </w:r>
      <w:r w:rsidR="008310EB">
        <w:t>10.4.2.1</w:t>
      </w:r>
      <w:r>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315B186" w14:textId="62C89CA7" w:rsidR="00DD5A3A" w:rsidRPr="00006F0F" w:rsidRDefault="00B71AF1" w:rsidP="004556D5">
      <w:pPr>
        <w:pStyle w:val="Kader"/>
      </w:pPr>
      <w:r w:rsidRPr="00B26823">
        <w:rPr>
          <w:noProof/>
        </w:rPr>
        <w:lastRenderedPageBreak/>
        <mc:AlternateContent>
          <mc:Choice Requires="wps">
            <w:drawing>
              <wp:inline distT="0" distB="0" distL="0" distR="0" wp14:anchorId="058ABCE7" wp14:editId="367D9FA4">
                <wp:extent cx="5400040" cy="985631"/>
                <wp:effectExtent l="0" t="0" r="22860" b="22860"/>
                <wp:docPr id="531857362" name="Tekstvak 53185736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2483DD7" w14:textId="77777777" w:rsidR="00DD5A3A" w:rsidRPr="00D80A79" w:rsidRDefault="00B71AF1" w:rsidP="00A92876">
                            <w:pPr>
                              <w:rPr>
                                <w:b/>
                                <w:bCs/>
                              </w:rPr>
                            </w:pPr>
                            <w:r w:rsidRPr="00D80A79">
                              <w:rPr>
                                <w:b/>
                                <w:bCs/>
                              </w:rPr>
                              <w:t>Toekomstige functionaliteit</w:t>
                            </w:r>
                          </w:p>
                          <w:p w14:paraId="7E0D2F75" w14:textId="57FEC4B6" w:rsidR="00DD5A3A" w:rsidRDefault="00B71AF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DD5A3A" w:rsidRDefault="00DD5A3A" w:rsidP="003B1642"/>
                          <w:p w14:paraId="43035A7F" w14:textId="77777777" w:rsidR="00DD5A3A" w:rsidRPr="006971CB" w:rsidRDefault="00B71AF1" w:rsidP="003B1642">
                            <w:pPr>
                              <w:rPr>
                                <w:b/>
                                <w:bCs/>
                              </w:rPr>
                            </w:pPr>
                            <w:r w:rsidRPr="006971CB">
                              <w:rPr>
                                <w:b/>
                                <w:bCs/>
                              </w:rPr>
                              <w:t>Workaround</w:t>
                            </w:r>
                          </w:p>
                          <w:p w14:paraId="72B39F96" w14:textId="5AD8EF48" w:rsidR="00DD5A3A" w:rsidRDefault="00B71AF1"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FFE3B72" w14:textId="77777777" w:rsidR="00DD5A3A" w:rsidRDefault="00B71AF1"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DD5A3A" w:rsidRDefault="00B71AF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DD5A3A" w:rsidRDefault="00DD5A3A" w:rsidP="003B1642"/>
                          <w:p w14:paraId="5AA10AEE" w14:textId="01F287A6" w:rsidR="00DD5A3A" w:rsidRDefault="00B71AF1"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656B54">
                              <w:t>in het onderdeel</w:t>
                            </w:r>
                            <w:r w:rsidR="00656B54"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DD5A3A" w:rsidRPr="0022671B" w:rsidRDefault="00B71AF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ABCE7" id="Tekstvak 531857362" o:spid="_x0000_s104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8XS0LwIAAFoEAAAOAAAAAAAAAAAAAAAAAC4CAABkcnMv&#10;ZTJvRG9jLnhtbFBLAQItABQABgAIAAAAIQAt+CFs2gAAAAUBAAAPAAAAAAAAAAAAAAAAAIkEAABk&#10;cnMvZG93bnJldi54bWxQSwUGAAAAAAQABADzAAAAkAUAAAAA&#10;" filled="f" strokeweight=".5pt">
                <v:textbox style="mso-fit-shape-to-text:t">
                  <w:txbxContent>
                    <w:p w14:paraId="62483DD7" w14:textId="77777777" w:rsidR="00DD5A3A" w:rsidRPr="00D80A79" w:rsidRDefault="00B71AF1" w:rsidP="00A92876">
                      <w:pPr>
                        <w:rPr>
                          <w:b/>
                          <w:bCs/>
                        </w:rPr>
                      </w:pPr>
                      <w:r w:rsidRPr="00D80A79">
                        <w:rPr>
                          <w:b/>
                          <w:bCs/>
                        </w:rPr>
                        <w:t>Toekomstige functionaliteit</w:t>
                      </w:r>
                    </w:p>
                    <w:p w14:paraId="7E0D2F75" w14:textId="57FEC4B6" w:rsidR="00DD5A3A" w:rsidRDefault="00B71AF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DD5A3A" w:rsidRDefault="00DD5A3A" w:rsidP="003B1642"/>
                    <w:p w14:paraId="43035A7F" w14:textId="77777777" w:rsidR="00DD5A3A" w:rsidRPr="006971CB" w:rsidRDefault="00B71AF1" w:rsidP="003B1642">
                      <w:pPr>
                        <w:rPr>
                          <w:b/>
                          <w:bCs/>
                        </w:rPr>
                      </w:pPr>
                      <w:r w:rsidRPr="006971CB">
                        <w:rPr>
                          <w:b/>
                          <w:bCs/>
                        </w:rPr>
                        <w:t>Workaround</w:t>
                      </w:r>
                    </w:p>
                    <w:p w14:paraId="72B39F96" w14:textId="5AD8EF48" w:rsidR="00DD5A3A" w:rsidRDefault="00B71AF1"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FFE3B72" w14:textId="77777777" w:rsidR="00DD5A3A" w:rsidRDefault="00B71AF1"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DD5A3A" w:rsidRDefault="00B71AF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DD5A3A" w:rsidRDefault="00DD5A3A" w:rsidP="003B1642"/>
                    <w:p w14:paraId="5AA10AEE" w14:textId="01F287A6" w:rsidR="00DD5A3A" w:rsidRDefault="00B71AF1"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656B54">
                        <w:t>in het onderdeel</w:t>
                      </w:r>
                      <w:r w:rsidR="00656B54"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DD5A3A" w:rsidRPr="0022671B" w:rsidRDefault="00B71AF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