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99BF" w14:textId="5AB74AAF" w:rsidR="0008378C" w:rsidRDefault="002B1A73" w:rsidP="002B1A73">
      <w:pPr>
        <w:pStyle w:val="Kop4"/>
      </w:pPr>
      <w:bookmarkStart w:id="19" w:name="_Ref_175ae95d1da69553b13cf78f4d2a7692_1"/>
      <w:r>
        <w:lastRenderedPageBreak/>
        <w:t>De inhoud van het projectbesluit</w:t>
      </w:r>
      <w:bookmarkEnd w:id="19"/>
    </w:p>
    <w:p w14:paraId="754FDD01" w14:textId="6FA7F929" w:rsidR="004C5663" w:rsidRDefault="002649F4" w:rsidP="002F16DA">
      <w:r>
        <w:t xml:space="preserve">In Omgevingswet en Omgevingsbesluit </w:t>
      </w:r>
      <w:r w:rsidR="00BD1806">
        <w:t>zijn onderwerpen benoemd die</w:t>
      </w:r>
    </w:p>
    <w:p w14:paraId="349E49B1" w14:textId="13DE665A" w:rsidR="00BD1806" w:rsidRDefault="00BD1806" w:rsidP="002F16DA">
      <w:r>
        <w:t>h</w:t>
      </w:r>
      <w:r w:rsidR="002F16DA">
        <w:t xml:space="preserve">et </w:t>
      </w:r>
      <w:r w:rsidR="002F16DA" w:rsidRPr="009F3065">
        <w:t xml:space="preserve">projectbesluit </w:t>
      </w:r>
      <w:r>
        <w:t>in ieder geval moet bevatten respectievelijk moet bevatten indien ze van toepassing zijn. Die onderwerpen worden in deze paragraaf beschreven.</w:t>
      </w:r>
    </w:p>
    <w:p w14:paraId="4EE10E0F" w14:textId="76733561" w:rsidR="002F16DA" w:rsidRDefault="00480B38" w:rsidP="000A4ECD">
      <w:pPr>
        <w:pStyle w:val="Opsommingnummers1"/>
        <w:numPr>
          <w:ilvl w:val="0"/>
          <w:numId w:val="17"/>
        </w:numPr>
      </w:pPr>
      <w:r>
        <w:t>O</w:t>
      </w:r>
      <w:r w:rsidRPr="00480B38">
        <w:t xml:space="preserve">nderdelen </w:t>
      </w:r>
      <w:r>
        <w:t xml:space="preserve">die het projectbesluit </w:t>
      </w:r>
      <w:r w:rsidR="002F16DA">
        <w:t>moet bevatten:</w:t>
      </w:r>
    </w:p>
    <w:p w14:paraId="18AACFE6" w14:textId="64DFBE6A" w:rsidR="002F16DA" w:rsidRDefault="002F16DA" w:rsidP="00CC0882">
      <w:pPr>
        <w:pStyle w:val="Opsommingnummers2"/>
      </w:pPr>
      <w:r>
        <w:t>een beschrijving van het project</w:t>
      </w:r>
      <w:r w:rsidR="00C87124">
        <w:rPr>
          <w:rStyle w:val="Voetnootmarkering"/>
        </w:rPr>
        <w:footnoteReference w:id="11"/>
      </w:r>
      <w:r>
        <w:t>;</w:t>
      </w:r>
      <w:r w:rsidR="00E227F8">
        <w:br/>
      </w:r>
      <w:r w:rsidR="00024A2E">
        <w:t>De</w:t>
      </w:r>
      <w:r w:rsidR="00E227F8">
        <w:t xml:space="preserve"> beschrijving </w:t>
      </w:r>
      <w:r w:rsidR="00D55E98">
        <w:t xml:space="preserve">van het project </w:t>
      </w:r>
      <w:r w:rsidR="00024A2E">
        <w:t>zal bestaan uit</w:t>
      </w:r>
      <w:r w:rsidR="00D55E98">
        <w:t xml:space="preserve"> tekst</w:t>
      </w:r>
      <w:r w:rsidR="00024A2E">
        <w:t>,</w:t>
      </w:r>
      <w:r w:rsidR="00B63DEF">
        <w:t xml:space="preserve"> afbeeldingen</w:t>
      </w:r>
      <w:r w:rsidR="00D55E98">
        <w:t>, tekeningen en kaarten</w:t>
      </w:r>
      <w:r w:rsidR="00BB358C">
        <w:t>.</w:t>
      </w:r>
    </w:p>
    <w:p w14:paraId="6BF65AF5" w14:textId="67E579D7" w:rsidR="002F16DA" w:rsidRDefault="002F16DA" w:rsidP="00CC0882">
      <w:pPr>
        <w:pStyle w:val="Opsommingnummers2"/>
      </w:pPr>
      <w:r>
        <w:t xml:space="preserve">de </w:t>
      </w:r>
      <w:r w:rsidRPr="00DF420A">
        <w:t>permanente of tijdelijke maatregelen en voorzieningen om het project te realiseren</w:t>
      </w:r>
      <w:r>
        <w:t>, voor</w:t>
      </w:r>
      <w:r w:rsidR="004A746B">
        <w:t xml:space="preserve"> </w:t>
      </w:r>
      <w:r>
        <w:t>zover die</w:t>
      </w:r>
      <w:r w:rsidRPr="00DF420A">
        <w:t xml:space="preserve"> </w:t>
      </w:r>
      <w:r>
        <w:t>voor de fysieke leefomgeving relevant zijn</w:t>
      </w:r>
      <w:r w:rsidR="008D56D5">
        <w:rPr>
          <w:rStyle w:val="Voetnootmarkering"/>
        </w:rPr>
        <w:footnoteReference w:id="12"/>
      </w:r>
      <w:r>
        <w:t>;</w:t>
      </w:r>
      <w:r>
        <w:br/>
      </w:r>
      <w:r w:rsidR="0080716B">
        <w:t>In het projectbesluit zullen d</w:t>
      </w:r>
      <w:r w:rsidR="00BB358C">
        <w:t>e</w:t>
      </w:r>
      <w:r w:rsidR="003D14CD">
        <w:t>ze</w:t>
      </w:r>
      <w:r w:rsidR="00BB358C">
        <w:t xml:space="preserve"> maatregelen en voorzieningen </w:t>
      </w:r>
      <w:r w:rsidR="00D15C04">
        <w:t xml:space="preserve">worden </w:t>
      </w:r>
      <w:r w:rsidR="0080716B">
        <w:t xml:space="preserve">beschreven </w:t>
      </w:r>
      <w:r w:rsidR="000E64CB">
        <w:t>in tekst</w:t>
      </w:r>
      <w:r w:rsidR="009B263A">
        <w:t>,</w:t>
      </w:r>
      <w:r w:rsidR="00624662">
        <w:t xml:space="preserve"> afbeeldingen</w:t>
      </w:r>
      <w:r w:rsidR="000E64CB">
        <w:t xml:space="preserve">, tekeningen en kaarten. </w:t>
      </w:r>
      <w:r>
        <w:t>V</w:t>
      </w:r>
      <w:r w:rsidRPr="00DF5352">
        <w:t>oorbeeld</w:t>
      </w:r>
      <w:r>
        <w:t xml:space="preserve">en </w:t>
      </w:r>
      <w:r w:rsidR="00D15C04">
        <w:t xml:space="preserve">van maatregelen </w:t>
      </w:r>
      <w:r>
        <w:t>zijn</w:t>
      </w:r>
      <w:r w:rsidRPr="00DF5352">
        <w:t xml:space="preserve"> het tijdelijk aanleggen van bouwwegen en werkterreinen.</w:t>
      </w:r>
    </w:p>
    <w:p w14:paraId="650C4FE1" w14:textId="4BB82E9F" w:rsidR="002F16DA" w:rsidRDefault="002F16DA" w:rsidP="00CC0882">
      <w:pPr>
        <w:pStyle w:val="Opsommingnummers2"/>
      </w:pPr>
      <w:r>
        <w:t>de maatregelen gericht op het ongedaan maken, beperken of compenseren van de nadelige gevolgen van het project of van het in werking hebben of in stand houden daarvan voor de fysieke leefomgeving</w:t>
      </w:r>
      <w:r w:rsidR="008D56D5">
        <w:rPr>
          <w:rStyle w:val="Voetnootmarkering"/>
        </w:rPr>
        <w:footnoteReference w:id="13"/>
      </w:r>
      <w:r>
        <w:t>;</w:t>
      </w:r>
      <w:r>
        <w:br/>
      </w:r>
      <w:r w:rsidR="003D14CD" w:rsidRPr="003D14CD">
        <w:t xml:space="preserve">In het projectbesluit zullen deze maatregelen worden beschreven in </w:t>
      </w:r>
      <w:r w:rsidR="0025191C" w:rsidRPr="0025191C">
        <w:t>tekst</w:t>
      </w:r>
      <w:r w:rsidR="00412E06">
        <w:t>,</w:t>
      </w:r>
      <w:r w:rsidR="00E20492">
        <w:t xml:space="preserve"> afbeeldingen</w:t>
      </w:r>
      <w:r w:rsidR="0025191C" w:rsidRPr="0025191C">
        <w:t>, tekeningen en kaarten</w:t>
      </w:r>
      <w:r w:rsidR="0025191C">
        <w:t>.</w:t>
      </w:r>
      <w:r w:rsidR="0025191C" w:rsidRPr="0025191C">
        <w:t xml:space="preserve"> </w:t>
      </w:r>
      <w:r>
        <w:t xml:space="preserve">Voorbeelden van deze maatregelen zijn </w:t>
      </w:r>
      <w:r w:rsidRPr="00451688">
        <w:t>geluidschermen, stil asfalt, het aanleggen van een ecopassage of het treffen van maatregelen in het belang van het behoud van cultureel erfgoed.</w:t>
      </w:r>
    </w:p>
    <w:p w14:paraId="70497FDC" w14:textId="5639DA02" w:rsidR="009060AC" w:rsidRDefault="00101253" w:rsidP="00CC0882">
      <w:pPr>
        <w:pStyle w:val="Opsommingnummers2"/>
      </w:pPr>
      <w:r w:rsidRPr="00101253">
        <w:t>beschrijvingen van hoe burgers, bedrijven, maatschappelijke organisaties en bestuursorganen bij de voorbereiding zijn betrokken en van de resultaten van de uitgevoerde verkenning, waarbij in ieder geval wordt ingegaan op de door derden voorgedragen mogelijke oplossingen en de daarover door deskundigen uitgebrachte adviezen</w:t>
      </w:r>
      <w:r>
        <w:rPr>
          <w:rStyle w:val="Voetnootmarkering"/>
        </w:rPr>
        <w:footnoteReference w:id="14"/>
      </w:r>
      <w:r w:rsidR="00DD2B10">
        <w:t>;</w:t>
      </w:r>
    </w:p>
    <w:p w14:paraId="246153B7" w14:textId="77777777" w:rsidR="002F16DA" w:rsidRDefault="002F16DA" w:rsidP="00CC0882">
      <w:pPr>
        <w:pStyle w:val="Opsommingnummers2"/>
      </w:pPr>
      <w:r>
        <w:t xml:space="preserve">de termijn waarbinnen in een omgevingsplan geen regels mogen worden gesteld </w:t>
      </w:r>
      <w:r w:rsidRPr="00A55EDB">
        <w:t xml:space="preserve">die het uitvoeren van een project waarvoor </w:t>
      </w:r>
      <w:r>
        <w:t xml:space="preserve">provincie of Rijk </w:t>
      </w:r>
      <w:r w:rsidRPr="00A55EDB">
        <w:t xml:space="preserve">een projectbesluit </w:t>
      </w:r>
      <w:r>
        <w:t xml:space="preserve">heeft </w:t>
      </w:r>
      <w:r w:rsidRPr="00A55EDB">
        <w:t>vastgesteld belemmeren</w:t>
      </w:r>
      <w:r>
        <w:t>,</w:t>
      </w:r>
      <w:r w:rsidRPr="008F6205">
        <w:t xml:space="preserve"> deze termijn kan eenmaal worden verlengd</w:t>
      </w:r>
      <w:r>
        <w:rPr>
          <w:rStyle w:val="Voetnootmarkering"/>
        </w:rPr>
        <w:footnoteReference w:id="15"/>
      </w:r>
      <w:r w:rsidRPr="00A55EDB">
        <w:t>.</w:t>
      </w:r>
    </w:p>
    <w:p w14:paraId="44D55950" w14:textId="2EAB0E26" w:rsidR="002F16DA" w:rsidRDefault="002E45F9" w:rsidP="00B702BA">
      <w:pPr>
        <w:pStyle w:val="Opsommingnummers1"/>
      </w:pPr>
      <w:r w:rsidRPr="002E45F9">
        <w:t xml:space="preserve">Onderdelen die het </w:t>
      </w:r>
      <w:r w:rsidR="00F72532">
        <w:t>projectbesluit</w:t>
      </w:r>
      <w:r w:rsidRPr="002E45F9">
        <w:t xml:space="preserve"> moet bevatten </w:t>
      </w:r>
      <w:r>
        <w:t>i</w:t>
      </w:r>
      <w:r w:rsidR="002F16DA">
        <w:t xml:space="preserve">ndien </w:t>
      </w:r>
      <w:r>
        <w:t xml:space="preserve">ze </w:t>
      </w:r>
      <w:r w:rsidR="002F16DA">
        <w:t>van toepassing</w:t>
      </w:r>
      <w:r w:rsidR="00DD2B10">
        <w:t xml:space="preserve"> </w:t>
      </w:r>
      <w:r>
        <w:t>zijn</w:t>
      </w:r>
      <w:r w:rsidR="002F16DA">
        <w:t>:</w:t>
      </w:r>
    </w:p>
    <w:p w14:paraId="47D036FE" w14:textId="77777777" w:rsidR="002F16DA" w:rsidRDefault="002F16DA" w:rsidP="000A4ECD">
      <w:pPr>
        <w:pStyle w:val="Opsommingnummers2"/>
        <w:numPr>
          <w:ilvl w:val="2"/>
          <w:numId w:val="18"/>
        </w:numPr>
      </w:pPr>
      <w:r w:rsidRPr="002B5BAB">
        <w:t>Voor zover dat in het projectbesluit uitdrukkelijk is bepaald, geldt het projectbesluit</w:t>
      </w:r>
      <w:r>
        <w:t xml:space="preserve"> als</w:t>
      </w:r>
      <w:r>
        <w:rPr>
          <w:rStyle w:val="Voetnootmarkering"/>
        </w:rPr>
        <w:footnoteReference w:id="16"/>
      </w:r>
      <w:r w:rsidRPr="002B5BAB">
        <w:t>:</w:t>
      </w:r>
    </w:p>
    <w:p w14:paraId="19DA7B74" w14:textId="77777777" w:rsidR="002F16DA" w:rsidRDefault="002F16DA" w:rsidP="00296119">
      <w:pPr>
        <w:pStyle w:val="Opsommingnummers3"/>
      </w:pPr>
      <w:r w:rsidRPr="002B5BAB">
        <w:t>omgevingsvergunning voor activiteiten ter uitvoering van het projectbesluit</w:t>
      </w:r>
      <w:r>
        <w:t>;</w:t>
      </w:r>
    </w:p>
    <w:p w14:paraId="6DBEC810" w14:textId="77777777" w:rsidR="002F16DA" w:rsidRDefault="002F16DA" w:rsidP="00296119">
      <w:pPr>
        <w:pStyle w:val="Opsommingnummers3"/>
      </w:pPr>
      <w:r>
        <w:t>besluit tot vaststelling van een geluidproductieplafond als omgevingswaarde als bedoeld in artikel 2.12a</w:t>
      </w:r>
      <w:r>
        <w:rPr>
          <w:rStyle w:val="Voetnootmarkering"/>
        </w:rPr>
        <w:footnoteReference w:id="17"/>
      </w:r>
      <w:r>
        <w:t>, 2.13a</w:t>
      </w:r>
      <w:r>
        <w:rPr>
          <w:rStyle w:val="Voetnootmarkering"/>
        </w:rPr>
        <w:footnoteReference w:id="18"/>
      </w:r>
      <w:r>
        <w:t xml:space="preserve"> of 2.15 lid 2</w:t>
      </w:r>
      <w:r>
        <w:rPr>
          <w:rStyle w:val="Voetnootmarkering"/>
        </w:rPr>
        <w:footnoteReference w:id="19"/>
      </w:r>
      <w:r>
        <w:t xml:space="preserve"> Ow;</w:t>
      </w:r>
    </w:p>
    <w:p w14:paraId="4B0DED1F" w14:textId="77777777" w:rsidR="002F16DA" w:rsidRDefault="002F16DA" w:rsidP="00296119">
      <w:pPr>
        <w:pStyle w:val="Opsommingnummers3"/>
      </w:pPr>
      <w:r>
        <w:t>maatwerkvoorschrift op grond van regels als bedoeld in artikel 4.3 Ow</w:t>
      </w:r>
      <w:r>
        <w:rPr>
          <w:rStyle w:val="Voetnootmarkering"/>
        </w:rPr>
        <w:footnoteReference w:id="20"/>
      </w:r>
      <w:r>
        <w:t>;</w:t>
      </w:r>
    </w:p>
    <w:p w14:paraId="704E99E5" w14:textId="77777777" w:rsidR="002F16DA" w:rsidRDefault="002F16DA" w:rsidP="00296119">
      <w:pPr>
        <w:pStyle w:val="Opsommingnummers3"/>
      </w:pPr>
      <w:r>
        <w:lastRenderedPageBreak/>
        <w:t>verkeersbesluit als bedoeld in artikel 15 Wegenverkeerswet 1994</w:t>
      </w:r>
      <w:r>
        <w:rPr>
          <w:rStyle w:val="Voetnootmarkering"/>
        </w:rPr>
        <w:footnoteReference w:id="21"/>
      </w:r>
      <w:r>
        <w:t xml:space="preserve"> voor zover het gaat om de uitvoering van het projectbesluit;</w:t>
      </w:r>
    </w:p>
    <w:p w14:paraId="1272EC04" w14:textId="77777777" w:rsidR="002F16DA" w:rsidRDefault="002F16DA" w:rsidP="00296119">
      <w:pPr>
        <w:pStyle w:val="Opsommingnummers3"/>
      </w:pPr>
      <w:r>
        <w:t>onttrekking van een weg aan de openbaarheid als bedoeld in artikel 7 Wegenwet</w:t>
      </w:r>
      <w:r>
        <w:rPr>
          <w:rStyle w:val="Voetnootmarkering"/>
        </w:rPr>
        <w:footnoteReference w:id="22"/>
      </w:r>
      <w:r>
        <w:t>.</w:t>
      </w:r>
    </w:p>
    <w:p w14:paraId="30736003" w14:textId="4F7CD49F" w:rsidR="004F1978" w:rsidRDefault="0001537A" w:rsidP="00296119">
      <w:pPr>
        <w:pStyle w:val="Opsommingnummers3"/>
        <w:numPr>
          <w:ilvl w:val="0"/>
          <w:numId w:val="0"/>
        </w:numPr>
        <w:ind w:left="567"/>
      </w:pPr>
      <w:r>
        <w:t xml:space="preserve">Als </w:t>
      </w:r>
      <w:r w:rsidRPr="00524219">
        <w:t xml:space="preserve">het projectbesluit </w:t>
      </w:r>
      <w:r>
        <w:t xml:space="preserve">geldt </w:t>
      </w:r>
      <w:r w:rsidRPr="00524219">
        <w:t>als een of meer van de</w:t>
      </w:r>
      <w:r>
        <w:t xml:space="preserve"> hier genoemde besluiten, moet dat expliciet in het projectbesluit worden beschreven. Het projectbesluit heeft daardoor die andere besluiten in zich; er zijn geen losse besluitdocumenten.</w:t>
      </w:r>
    </w:p>
    <w:p w14:paraId="5325C8B7" w14:textId="1925A845" w:rsidR="002F16DA" w:rsidRDefault="002F16DA" w:rsidP="00296119">
      <w:pPr>
        <w:pStyle w:val="Opsommingnummers2"/>
      </w:pPr>
      <w:r>
        <w:t>Bij een projectbesluit kan worden bepaald dat het besluit met inachtneming van de daarbij gestelde randvoorwaarden door het bevoegd gezag kan worden uitgewerkt</w:t>
      </w:r>
      <w:r>
        <w:rPr>
          <w:rStyle w:val="Voetnootmarkering"/>
        </w:rPr>
        <w:footnoteReference w:id="23"/>
      </w:r>
      <w:r>
        <w:t xml:space="preserve">. </w:t>
      </w:r>
      <w:r w:rsidR="004243E2">
        <w:t>De uitwerking maakt deel uit van het projectbesluit en kan, zolang de uitwerking nog niet is verwezenlijkt, worden vervangen door een nieuwe uitwerking</w:t>
      </w:r>
      <w:r w:rsidR="004243E2">
        <w:rPr>
          <w:rStyle w:val="Voetnootmarkering"/>
        </w:rPr>
        <w:footnoteReference w:id="24"/>
      </w:r>
      <w:r w:rsidR="004243E2">
        <w:t>.</w:t>
      </w:r>
      <w:r w:rsidR="00B469BC">
        <w:br/>
      </w:r>
      <w:r>
        <w:t xml:space="preserve">In de randvoorwaarden wordt concreet gemaakt waarop de uitwerking betrekking kan hebben, zoals welk onderdeel van het project en welk deel van het projectgebied. Een </w:t>
      </w:r>
      <w:r w:rsidRPr="00487461">
        <w:t xml:space="preserve">voorbeeld: </w:t>
      </w:r>
      <w:r>
        <w:t>i</w:t>
      </w:r>
      <w:r w:rsidRPr="00487461">
        <w:t xml:space="preserve">n het projectbesluit is bepaald dat </w:t>
      </w:r>
      <w:r>
        <w:t xml:space="preserve">er </w:t>
      </w:r>
      <w:r w:rsidRPr="00487461">
        <w:t xml:space="preserve">een brug over een rivier gebouwd </w:t>
      </w:r>
      <w:r>
        <w:t xml:space="preserve">moet </w:t>
      </w:r>
      <w:r w:rsidRPr="00487461">
        <w:t>word</w:t>
      </w:r>
      <w:r>
        <w:t>en</w:t>
      </w:r>
      <w:r w:rsidRPr="00487461">
        <w:t xml:space="preserve">, maar de exacte hoogte en locatie van de brug moet </w:t>
      </w:r>
      <w:r>
        <w:t xml:space="preserve">in de uitwerking </w:t>
      </w:r>
      <w:r w:rsidRPr="00487461">
        <w:t>bepaald worden</w:t>
      </w:r>
      <w:r>
        <w:t>.</w:t>
      </w:r>
      <w:r w:rsidR="00271479">
        <w:t xml:space="preserve"> </w:t>
      </w:r>
      <w:r w:rsidR="00271479" w:rsidRPr="0008639F">
        <w:t>Bij de uitwerking van een projectbesluit binnen de randvoorwaarden wordt een verkorte procedure toegepast: kennisgeving van het voornemen, het uitvoeren van een verkenning en het nemen van een voorkeursbeslissing zijn niet van toepassing</w:t>
      </w:r>
      <w:r w:rsidR="00271479" w:rsidRPr="0008639F">
        <w:rPr>
          <w:rStyle w:val="Voetnootmarkering"/>
        </w:rPr>
        <w:footnoteReference w:id="25"/>
      </w:r>
      <w:r w:rsidR="00271479" w:rsidRPr="0008639F">
        <w:t>.</w:t>
      </w:r>
    </w:p>
    <w:p w14:paraId="413055AD" w14:textId="4374AEF6" w:rsidR="002F16DA" w:rsidRDefault="00194477" w:rsidP="00B659FA">
      <w:pPr>
        <w:pStyle w:val="Opsommingnummers1"/>
      </w:pPr>
      <w:r>
        <w:t>Wijziging omgevingsplan</w:t>
      </w:r>
      <w:r>
        <w:br/>
        <w:t>H</w:t>
      </w:r>
      <w:r w:rsidR="002F16DA">
        <w:t xml:space="preserve">et projectbesluit </w:t>
      </w:r>
      <w:r w:rsidRPr="00194477">
        <w:t xml:space="preserve">wijzigt </w:t>
      </w:r>
      <w:r w:rsidR="002F16DA">
        <w:t>het omgevingsplan met regels die nodig zijn voor het uitvoeren en in werking hebben of in stand houden van het project</w:t>
      </w:r>
      <w:r w:rsidR="002F16DA">
        <w:rPr>
          <w:rStyle w:val="Voetnootmarkering"/>
        </w:rPr>
        <w:footnoteReference w:id="26"/>
      </w:r>
      <w:r w:rsidR="002F16DA">
        <w:t xml:space="preserve">. </w:t>
      </w:r>
      <w:r w:rsidR="00C9359E">
        <w:t xml:space="preserve">Dit betekent dat als het projectbesluit </w:t>
      </w:r>
      <w:r w:rsidR="00E95457">
        <w:t xml:space="preserve">in strijd is met het omgevingsplan, het projectbesluit het omgevingsplan móét wijzigen. </w:t>
      </w:r>
      <w:r w:rsidR="002018CE">
        <w:br/>
        <w:t xml:space="preserve">NB: </w:t>
      </w:r>
      <w:r w:rsidR="00E611C8">
        <w:t xml:space="preserve">Gedurende de overgangsfase </w:t>
      </w:r>
      <w:r w:rsidR="00E611C8" w:rsidRPr="00E611C8">
        <w:t xml:space="preserve">hoeft het projectbesluit </w:t>
      </w:r>
      <w:r w:rsidR="00AC66BC" w:rsidRPr="00AC66BC">
        <w:t xml:space="preserve">het omgevingsplan </w:t>
      </w:r>
      <w:r w:rsidR="00E611C8" w:rsidRPr="00E611C8">
        <w:t>niet te wijzigen. Voor zover een projectbesluit in deze periode in strijd is met het omgevingsplan, geldt het als een omgevingsvergunning voor een buitenplanse omgevingsplanactiviteit</w:t>
      </w:r>
      <w:r w:rsidR="003A29E3">
        <w:rPr>
          <w:rStyle w:val="Voetnootmarkering"/>
        </w:rPr>
        <w:footnoteReference w:id="27"/>
      </w:r>
      <w:r w:rsidR="00E611C8" w:rsidRPr="00E611C8">
        <w:t>.</w:t>
      </w:r>
      <w:r w:rsidR="00AC66BC">
        <w:t xml:space="preserve"> Om kenbaar te zijn moet dat uitdrukkelijk in</w:t>
      </w:r>
      <w:r w:rsidR="008B085E">
        <w:t xml:space="preserve"> het projectbesluit worden bepaald.</w:t>
      </w:r>
      <w:r w:rsidR="002F16DA">
        <w:br/>
      </w:r>
    </w:p>
    <w:p w14:paraId="40854EB0" w14:textId="26A5DD9F" w:rsidR="00E33EDD" w:rsidRPr="002D2D4E" w:rsidRDefault="00D91DA1" w:rsidP="00BA3634">
      <w:r>
        <w:t>E</w:t>
      </w:r>
      <w:r w:rsidR="002F16DA">
        <w:t xml:space="preserve">en projectbesluit </w:t>
      </w:r>
      <w:r w:rsidR="002C3FDF">
        <w:t xml:space="preserve">van waterschap </w:t>
      </w:r>
      <w:r w:rsidR="00781278">
        <w:t>of</w:t>
      </w:r>
      <w:r w:rsidR="002C3FDF">
        <w:t xml:space="preserve"> prov</w:t>
      </w:r>
      <w:r w:rsidR="00B11887">
        <w:t xml:space="preserve">incie </w:t>
      </w:r>
      <w:r>
        <w:t xml:space="preserve">mag </w:t>
      </w:r>
      <w:r w:rsidR="002F16DA">
        <w:t>het uitvoeren van een project waarvoor het Rijk een projectbesluit heeft vastgesteld</w:t>
      </w:r>
      <w:r>
        <w:t xml:space="preserve"> niet </w:t>
      </w:r>
      <w:r w:rsidRPr="00D91DA1">
        <w:t>belemmeren</w:t>
      </w:r>
      <w:r w:rsidR="002F16DA">
        <w:rPr>
          <w:rStyle w:val="Voetnootmarkering"/>
        </w:rPr>
        <w:footnoteReference w:id="28"/>
      </w:r>
      <w:r w:rsidR="002F16D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