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6E664" w14:textId="24883EEA" w:rsidR="000E3A0B" w:rsidRPr="002D2D4E" w:rsidRDefault="00C70143" w:rsidP="00CE18AA">
      <w:pPr>
        <w:pStyle w:val="Kop4"/>
      </w:pPr>
      <w:r>
        <w:t xml:space="preserve">De </w:t>
      </w:r>
      <w:r w:rsidR="000E3A0B" w:rsidRPr="002D2D4E">
        <w:t>projectprocedure</w:t>
      </w:r>
    </w:p>
    <w:p w14:paraId="6E2A73BC" w14:textId="29BB20E9" w:rsidR="008767BB" w:rsidRDefault="000E3A0B" w:rsidP="00194950">
      <w:r w:rsidRPr="002D2D4E">
        <w:t xml:space="preserve">Het </w:t>
      </w:r>
      <w:r w:rsidR="00597F8B">
        <w:t xml:space="preserve">projectbesluit </w:t>
      </w:r>
      <w:r w:rsidR="001764F4">
        <w:t xml:space="preserve">is </w:t>
      </w:r>
      <w:r w:rsidR="001224F5">
        <w:t>onderdee</w:t>
      </w:r>
      <w:r w:rsidR="00894A5D">
        <w:t>l</w:t>
      </w:r>
      <w:r w:rsidR="00597F8B">
        <w:t xml:space="preserve"> </w:t>
      </w:r>
      <w:r w:rsidRPr="002D2D4E">
        <w:t xml:space="preserve">van </w:t>
      </w:r>
      <w:r w:rsidR="00597F8B">
        <w:t xml:space="preserve">de </w:t>
      </w:r>
      <w:r w:rsidRPr="002D2D4E">
        <w:t>projectprocedure</w:t>
      </w:r>
      <w:r w:rsidR="00613765">
        <w:t>.</w:t>
      </w:r>
      <w:r w:rsidR="00541BBD">
        <w:t xml:space="preserve"> </w:t>
      </w:r>
      <w:r w:rsidR="006815A2">
        <w:t xml:space="preserve">In </w:t>
      </w:r>
      <w:r w:rsidR="002B32F5">
        <w:t>paragraaf</w:t>
      </w:r>
      <w:r w:rsidR="006815A2">
        <w:t xml:space="preserve"> </w:t>
      </w:r>
      <w:r w:rsidR="009E0968">
        <w:fldChar w:fldCharType="begin"/>
      </w:r>
      <w:r w:rsidR="009E0968">
        <w:instrText xml:space="preserve"> REF _Ref_89a9a5687a71e7e9308157b00219375b_1 \n \h </w:instrText>
      </w:r>
      <w:r w:rsidR="009E0968">
        <w:fldChar w:fldCharType="separate"/>
      </w:r>
      <w:r w:rsidR="00890AE1">
        <w:t>11.4</w:t>
      </w:r>
      <w:r w:rsidR="009E0968">
        <w:fldChar w:fldCharType="end"/>
      </w:r>
      <w:r w:rsidR="002B32F5">
        <w:t xml:space="preserve"> staat e</w:t>
      </w:r>
      <w:r w:rsidR="00776221">
        <w:t xml:space="preserve">en gedetailleerde beschrijving van de </w:t>
      </w:r>
      <w:r w:rsidR="002B32F5">
        <w:t>project</w:t>
      </w:r>
      <w:r w:rsidR="00776221">
        <w:t>procedure</w:t>
      </w:r>
      <w:r w:rsidR="002B32F5">
        <w:t>.</w:t>
      </w:r>
      <w:r w:rsidR="00776221">
        <w:t xml:space="preserve"> </w:t>
      </w:r>
      <w:r w:rsidR="002B32F5">
        <w:t>D</w:t>
      </w:r>
      <w:r w:rsidR="00776221">
        <w:t xml:space="preserve">aarin </w:t>
      </w:r>
      <w:r w:rsidR="002B32F5">
        <w:t xml:space="preserve">is </w:t>
      </w:r>
      <w:r w:rsidR="00D1453F">
        <w:t>per pro</w:t>
      </w:r>
      <w:r w:rsidR="00E632C8">
        <w:t xml:space="preserve">cedurestap </w:t>
      </w:r>
      <w:r w:rsidR="00776221">
        <w:t>aange</w:t>
      </w:r>
      <w:r w:rsidR="00E632C8">
        <w:t xml:space="preserve">geven of </w:t>
      </w:r>
      <w:r w:rsidR="006815A2" w:rsidRPr="006815A2">
        <w:t>deze door de STOP/TPOD-standaard en de DSO-keten wordt ondersteund en zo ja, welke producten en welke gegevens en metadata aan die keten moeten worden aangeleverd</w:t>
      </w:r>
      <w:r w:rsidR="006815A2">
        <w:t>.</w:t>
      </w:r>
      <w:r w:rsidR="006815A2" w:rsidRPr="006815A2">
        <w:t xml:space="preserve"> </w:t>
      </w:r>
      <w:r w:rsidR="00DA0891">
        <w:t>In hoofdlijnen ziet de project</w:t>
      </w:r>
      <w:r w:rsidR="00541BBD">
        <w:t>projectprocedure er als volgt uit.</w:t>
      </w:r>
    </w:p>
    <w:p w14:paraId="7E9334D9" w14:textId="18338B51" w:rsidR="00F336D0" w:rsidRDefault="00F336D0" w:rsidP="00F336D0">
      <w:pPr>
        <w:pStyle w:val="Opsommingtekens1"/>
      </w:pPr>
      <w:r>
        <w:lastRenderedPageBreak/>
        <w:t>Kennis</w:t>
      </w:r>
      <w:r w:rsidR="00BB1853">
        <w:t xml:space="preserve"> </w:t>
      </w:r>
      <w:r>
        <w:t>gev</w:t>
      </w:r>
      <w:r w:rsidR="00BB1853">
        <w:t xml:space="preserve">en </w:t>
      </w:r>
      <w:r>
        <w:t>van voornemen om een verkenning uit te voeren en een projectbesluit vast te stellen met of zonder voor</w:t>
      </w:r>
      <w:r w:rsidR="00620A87">
        <w:t>af</w:t>
      </w:r>
      <w:r>
        <w:t>gaande</w:t>
      </w:r>
      <w:r w:rsidR="00A23875">
        <w:t xml:space="preserve"> voorkeursbeslissing</w:t>
      </w:r>
      <w:r w:rsidR="00D3603E" w:rsidRPr="00D3603E">
        <w:t>, met een termijn waarbinnen eenieder de gelegenheid heeft oplossingen voor de opgave voor te dragen</w:t>
      </w:r>
      <w:r w:rsidR="00D3603E">
        <w:rPr>
          <w:rStyle w:val="Voetnootmarkering"/>
        </w:rPr>
        <w:footnoteReference w:id="29"/>
      </w:r>
    </w:p>
    <w:p w14:paraId="1F66E5BD" w14:textId="3EB41E8E" w:rsidR="00A23875" w:rsidRDefault="00A23875" w:rsidP="00F336D0">
      <w:pPr>
        <w:pStyle w:val="Opsommingtekens1"/>
      </w:pPr>
      <w:r>
        <w:t>Kennis</w:t>
      </w:r>
      <w:r w:rsidR="00971630">
        <w:t xml:space="preserve"> </w:t>
      </w:r>
      <w:r>
        <w:t>gev</w:t>
      </w:r>
      <w:r w:rsidR="00971630">
        <w:t>e</w:t>
      </w:r>
      <w:r>
        <w:t xml:space="preserve">n van wijze </w:t>
      </w:r>
      <w:r w:rsidR="00E30CDF">
        <w:t>waarop burgers, bedrijven, maatschappelijke organisaties</w:t>
      </w:r>
      <w:r w:rsidR="006F67D9">
        <w:t xml:space="preserve"> en bestuursorganen </w:t>
      </w:r>
      <w:r w:rsidR="005110DF">
        <w:t xml:space="preserve">bij de verkenning </w:t>
      </w:r>
      <w:r w:rsidR="006F67D9">
        <w:t>worden betrokken</w:t>
      </w:r>
      <w:r w:rsidR="00E51BCF">
        <w:rPr>
          <w:rStyle w:val="Voetnootmarkering"/>
        </w:rPr>
        <w:footnoteReference w:id="30"/>
      </w:r>
    </w:p>
    <w:p w14:paraId="298A8A38" w14:textId="7573FB45" w:rsidR="00F32900" w:rsidRDefault="006F67D9" w:rsidP="002F17CF">
      <w:pPr>
        <w:pStyle w:val="Opsommingtekens1"/>
      </w:pPr>
      <w:r>
        <w:t>Verkenning</w:t>
      </w:r>
      <w:r w:rsidR="000B2E49">
        <w:rPr>
          <w:rStyle w:val="Voetnootmarkering"/>
        </w:rPr>
        <w:footnoteReference w:id="31"/>
      </w:r>
      <w:r w:rsidR="00F32900">
        <w:br/>
        <w:t>In de verkenning onderzoekt het bevoegd gezag de mogelijke oplossingen voor een opgave.</w:t>
      </w:r>
      <w:r w:rsidR="009B19BC">
        <w:t xml:space="preserve"> </w:t>
      </w:r>
      <w:r w:rsidR="00F32900">
        <w:t>Door de verkenning wil het bevoegd gezag inzicht krijgen in:</w:t>
      </w:r>
    </w:p>
    <w:p w14:paraId="42E54369" w14:textId="77777777" w:rsidR="00F32900" w:rsidRDefault="00F32900" w:rsidP="00CE18AA">
      <w:pPr>
        <w:pStyle w:val="Opsommingtekens2"/>
      </w:pPr>
      <w:r>
        <w:t>de aard van de opgave</w:t>
      </w:r>
    </w:p>
    <w:p w14:paraId="7057EE68" w14:textId="77777777" w:rsidR="00F32900" w:rsidRDefault="00F32900" w:rsidP="00CE18AA">
      <w:pPr>
        <w:pStyle w:val="Opsommingtekens2"/>
      </w:pPr>
      <w:r>
        <w:t>de relevante ontwikkelingen voor de fysieke leefomgeving</w:t>
      </w:r>
    </w:p>
    <w:p w14:paraId="7861EEC2" w14:textId="77777777" w:rsidR="00F32900" w:rsidRDefault="00F32900" w:rsidP="00CE18AA">
      <w:pPr>
        <w:pStyle w:val="Opsommingtekens2"/>
      </w:pPr>
      <w:r>
        <w:t>de mogelijke oplossingen voor die opgave.</w:t>
      </w:r>
    </w:p>
    <w:p w14:paraId="601186BB" w14:textId="17E59556" w:rsidR="00F32900" w:rsidRPr="005D5A47" w:rsidRDefault="00F32900" w:rsidP="00CE18AA">
      <w:pPr>
        <w:pStyle w:val="Opsommingtekens2"/>
        <w:numPr>
          <w:ilvl w:val="0"/>
          <w:numId w:val="0"/>
        </w:numPr>
        <w:ind w:left="284"/>
      </w:pPr>
      <w:r w:rsidRPr="005D5A47">
        <w:t>Hieronder vallen ook de oplossingen die anderen</w:t>
      </w:r>
      <w:r w:rsidR="00404053">
        <w:t xml:space="preserve"> hebben voorge</w:t>
      </w:r>
      <w:r w:rsidRPr="005D5A47">
        <w:t xml:space="preserve">dragen </w:t>
      </w:r>
      <w:r w:rsidR="00A4339D">
        <w:t>e</w:t>
      </w:r>
      <w:r w:rsidRPr="005D5A47">
        <w:t>n waarvan het bevoegd gezag na beoordeling ervan besluit deze mee te nemen in de verkenning.</w:t>
      </w:r>
    </w:p>
    <w:p w14:paraId="7B2940B0" w14:textId="1A0E9993" w:rsidR="004C5663" w:rsidRDefault="00F32900" w:rsidP="00CE18AA">
      <w:pPr>
        <w:pStyle w:val="Opsommingtekens2"/>
        <w:numPr>
          <w:ilvl w:val="0"/>
          <w:numId w:val="0"/>
        </w:numPr>
        <w:ind w:left="284"/>
      </w:pPr>
      <w:r w:rsidRPr="005D5A47">
        <w:t>Het bevoegd</w:t>
      </w:r>
      <w:r>
        <w:t xml:space="preserve"> gezag bepaalt zelf de invulling van de verkenning. De verkenning moet uiteindelijk voldoende informatie bieden om een projectbesluit te kunnen opstellen</w:t>
      </w:r>
      <w:r w:rsidR="00750041">
        <w:t xml:space="preserve"> en </w:t>
      </w:r>
      <w:r w:rsidR="00750041" w:rsidRPr="00750041">
        <w:t xml:space="preserve">-indien van toepassing- </w:t>
      </w:r>
      <w:r w:rsidR="00750041">
        <w:t xml:space="preserve">daaraan voorafgaand </w:t>
      </w:r>
      <w:r w:rsidR="00750041" w:rsidRPr="00750041">
        <w:t>een voorkeursbeslissing te kunnen nemen</w:t>
      </w:r>
      <w:r>
        <w:t>. Het milieueffectrapport kan onderdeel zijn van de verkenning.</w:t>
      </w:r>
    </w:p>
    <w:p w14:paraId="0F5BBADB" w14:textId="78A394BF" w:rsidR="00F42362" w:rsidRDefault="00F42362" w:rsidP="00F336D0">
      <w:pPr>
        <w:pStyle w:val="Opsommingtekens1"/>
      </w:pPr>
      <w:r>
        <w:t>Voorkeursbeslissing</w:t>
      </w:r>
      <w:r w:rsidR="00705578">
        <w:rPr>
          <w:rStyle w:val="Voetnootmarkering"/>
        </w:rPr>
        <w:footnoteReference w:id="32"/>
      </w:r>
      <w:r w:rsidR="00316C8F">
        <w:t xml:space="preserve"> </w:t>
      </w:r>
      <w:r w:rsidR="00316C8F" w:rsidRPr="00316C8F">
        <w:t>(indien van toepassing)</w:t>
      </w:r>
    </w:p>
    <w:p w14:paraId="68A50DBB" w14:textId="7F3AE011" w:rsidR="006F67D9" w:rsidRDefault="006F67D9" w:rsidP="00CE18AA">
      <w:pPr>
        <w:pStyle w:val="Opsommingtekens2"/>
      </w:pPr>
      <w:r>
        <w:t>Voorber</w:t>
      </w:r>
      <w:r w:rsidR="00316C8F">
        <w:t>eiden</w:t>
      </w:r>
      <w:r>
        <w:t xml:space="preserve"> voorkeursbeslissing met toepassing van afdeling 3.4 Awb</w:t>
      </w:r>
      <w:r w:rsidR="00316C8F">
        <w:rPr>
          <w:rStyle w:val="Voetnootmarkering"/>
        </w:rPr>
        <w:footnoteReference w:id="33"/>
      </w:r>
    </w:p>
    <w:p w14:paraId="0EE78755" w14:textId="65C47DC3" w:rsidR="002026CD" w:rsidRDefault="002026CD" w:rsidP="00CE18AA">
      <w:pPr>
        <w:pStyle w:val="Opsommingtekens2"/>
      </w:pPr>
      <w:r>
        <w:t>Vast</w:t>
      </w:r>
      <w:r w:rsidR="003605A8">
        <w:t>stellen voorkeursbeslissing</w:t>
      </w:r>
    </w:p>
    <w:p w14:paraId="76207A72" w14:textId="77777777" w:rsidR="005E1FDA" w:rsidRDefault="00F42362" w:rsidP="002F17CF">
      <w:pPr>
        <w:pStyle w:val="Opsommingtekens1"/>
      </w:pPr>
      <w:r>
        <w:t>P</w:t>
      </w:r>
      <w:r w:rsidR="00BA5717">
        <w:t>rojectbesluit</w:t>
      </w:r>
    </w:p>
    <w:p w14:paraId="2CF14F28" w14:textId="118ECD2B" w:rsidR="00C90323" w:rsidRDefault="008563D4" w:rsidP="00CE18AA">
      <w:pPr>
        <w:pStyle w:val="Opsommingtekens2"/>
      </w:pPr>
      <w:r w:rsidRPr="008563D4">
        <w:t>Voorbereiden projectbesluit met toepassing van afdeling 3.4 Awb</w:t>
      </w:r>
      <w:r>
        <w:rPr>
          <w:rStyle w:val="Voetnootmarkering"/>
        </w:rPr>
        <w:footnoteReference w:id="34"/>
      </w:r>
    </w:p>
    <w:p w14:paraId="1F9FC9D7" w14:textId="5AB7AC97" w:rsidR="00F42362" w:rsidRDefault="00CC1784" w:rsidP="0022762D">
      <w:pPr>
        <w:pStyle w:val="Opsommingtekens2"/>
      </w:pPr>
      <w:r w:rsidRPr="00CC1784">
        <w:t xml:space="preserve">Inwinnen instemming respectievelijk advies </w:t>
      </w:r>
      <w:r w:rsidR="00737E61">
        <w:t xml:space="preserve">als het projectbesluit </w:t>
      </w:r>
      <w:r w:rsidR="003312EB">
        <w:t xml:space="preserve">gaat </w:t>
      </w:r>
      <w:r w:rsidR="00737E61">
        <w:t>geld</w:t>
      </w:r>
      <w:r w:rsidR="003312EB">
        <w:t>en</w:t>
      </w:r>
      <w:r w:rsidR="00737E61">
        <w:t xml:space="preserve"> als </w:t>
      </w:r>
      <w:r w:rsidR="00AA69C0" w:rsidRPr="00AA69C0">
        <w:t>omgevingsvergunning voor een activiteit waarvoor instemming van een ander bestuursorgaan nodig is of als besluit op een aanvraag waarover een ander bestuursorgaan of andere instantie in de gelegenheid wordt gesteld om advies uit te brengen</w:t>
      </w:r>
    </w:p>
    <w:p w14:paraId="5B9B3380" w14:textId="4336DB65" w:rsidR="005723DB" w:rsidRDefault="00CC1784" w:rsidP="001942BF">
      <w:pPr>
        <w:pStyle w:val="Opsommingtekens2"/>
      </w:pPr>
      <w:r>
        <w:t>V</w:t>
      </w:r>
      <w:r w:rsidR="00D25E91">
        <w:t>aststell</w:t>
      </w:r>
      <w:r>
        <w:t>e</w:t>
      </w:r>
      <w:r w:rsidR="00D25E91">
        <w:t>n</w:t>
      </w:r>
      <w:r>
        <w:t xml:space="preserve"> projectbesluit</w:t>
      </w:r>
    </w:p>
    <w:p w14:paraId="6BEB6218" w14:textId="3D2663A9" w:rsidR="004C5663" w:rsidRDefault="00100F0B" w:rsidP="00ED28D6">
      <w:pPr>
        <w:pStyle w:val="Opsommingtekens2"/>
      </w:pPr>
      <w:r>
        <w:t xml:space="preserve">Beslissen omtrent </w:t>
      </w:r>
      <w:r w:rsidR="00DC70D9">
        <w:t>goedkeuring</w:t>
      </w:r>
      <w:r>
        <w:t xml:space="preserve"> projectbesluit waterschap</w:t>
      </w:r>
      <w:r>
        <w:rPr>
          <w:rStyle w:val="Voetnootmarkering"/>
        </w:rPr>
        <w:footnoteReference w:id="35"/>
      </w:r>
      <w:r w:rsidR="00DC70D9">
        <w:br/>
        <w:t>Een projectbesluit dat is vastgesteld door het dagelijks bestuur van het waterschap behoeft goedkeuring</w:t>
      </w:r>
      <w:r w:rsidR="00607711">
        <w:t xml:space="preserve"> van GS van de provincie waarin het projectbesluit wordt uitgevoerd dan </w:t>
      </w:r>
      <w:r w:rsidR="00CF42BA">
        <w:t xml:space="preserve">wel GS van de </w:t>
      </w:r>
      <w:r w:rsidR="00CF42BA" w:rsidRPr="00CF42BA">
        <w:t xml:space="preserve">provincie waarin het projectbesluit </w:t>
      </w:r>
      <w:r w:rsidR="00CF42BA">
        <w:t xml:space="preserve">in hoofdzaak zal </w:t>
      </w:r>
      <w:r w:rsidR="00CF42BA" w:rsidRPr="00CF42BA">
        <w:t>word</w:t>
      </w:r>
      <w:r w:rsidR="00CF42BA">
        <w:t>en</w:t>
      </w:r>
      <w:r w:rsidR="00CF42BA" w:rsidRPr="00CF42BA">
        <w:t xml:space="preserve"> uitgevoerd</w:t>
      </w:r>
      <w:r w:rsidR="00612BBB">
        <w:t>.</w:t>
      </w:r>
    </w:p>
    <w:p w14:paraId="3B1DF00F" w14:textId="401F1420" w:rsidR="001942BF" w:rsidRDefault="001A65D4">
      <w:pPr>
        <w:pStyle w:val="Opsommingtekens2"/>
      </w:pPr>
      <w:r>
        <w:t>B</w:t>
      </w:r>
      <w:r w:rsidR="001942BF">
        <w:t>eroep</w:t>
      </w:r>
      <w:r w:rsidR="00437606">
        <w:br/>
      </w:r>
      <w:r w:rsidR="001D48F3">
        <w:t xml:space="preserve">Tegen een projectbesluit kan beroep worden ingesteld. </w:t>
      </w:r>
      <w:r w:rsidR="00437606">
        <w:t xml:space="preserve">In het geval van een </w:t>
      </w:r>
      <w:r w:rsidR="00147708">
        <w:t xml:space="preserve">projectbesluit </w:t>
      </w:r>
      <w:r w:rsidR="00147708" w:rsidRPr="00147708">
        <w:t xml:space="preserve">van </w:t>
      </w:r>
      <w:r w:rsidR="00147708">
        <w:t xml:space="preserve">een </w:t>
      </w:r>
      <w:r w:rsidR="00147708" w:rsidRPr="00147708">
        <w:t>waterschap</w:t>
      </w:r>
      <w:r w:rsidR="00147708">
        <w:t xml:space="preserve"> kan zowel tegen het projectbesluit als tegen het besluit over de goedkeuring beroep worden ingesteld</w:t>
      </w:r>
      <w:r w:rsidR="00FF6C70">
        <w:rPr>
          <w:rStyle w:val="Voetnootmarkering"/>
        </w:rPr>
        <w:footnoteReference w:id="36"/>
      </w:r>
      <w:r w:rsidR="00EA7669">
        <w:t>.</w:t>
      </w:r>
    </w:p>
    <w:p w14:paraId="05DE1C9E" w14:textId="651162EE" w:rsidR="0098111B" w:rsidRDefault="001A65D4">
      <w:pPr>
        <w:pStyle w:val="Opsommingtekens2"/>
      </w:pPr>
      <w:r>
        <w:t>I</w:t>
      </w:r>
      <w:r w:rsidR="0098111B">
        <w:t>nwerkingtred</w:t>
      </w:r>
      <w:r>
        <w:t>e</w:t>
      </w:r>
      <w:r w:rsidR="00592BC2">
        <w:t>n</w:t>
      </w:r>
    </w:p>
    <w:p w14:paraId="5F8B5611" w14:textId="77777777" w:rsidR="00D57675" w:rsidRDefault="008460FF" w:rsidP="00D57675">
      <w:pPr>
        <w:pStyle w:val="Opsommingtekens3"/>
      </w:pPr>
      <w:r>
        <w:lastRenderedPageBreak/>
        <w:t xml:space="preserve">projectbesluit provincie en Rijk treedt in werking </w:t>
      </w:r>
      <w:r w:rsidR="0091531C" w:rsidRPr="0091531C">
        <w:t>4 weken na de dag van bekendmaking</w:t>
      </w:r>
      <w:r w:rsidR="0091531C">
        <w:t xml:space="preserve"> van het projectbesluit</w:t>
      </w:r>
      <w:r w:rsidR="009C614A" w:rsidRPr="009C614A">
        <w:t>; het bevoegd gezag kan vanwege spoedeisende omstandigheden bepalen dat het projectbesluit eerder in werking treedt</w:t>
      </w:r>
      <w:r w:rsidR="009C614A">
        <w:rPr>
          <w:rStyle w:val="Voetnootmarkering"/>
        </w:rPr>
        <w:footnoteReference w:id="37"/>
      </w:r>
    </w:p>
    <w:p w14:paraId="74957F9D" w14:textId="6108D2C5" w:rsidR="00D57675" w:rsidRPr="00D57675" w:rsidRDefault="00590145" w:rsidP="00D57675">
      <w:pPr>
        <w:pStyle w:val="Opsommingtekens3"/>
      </w:pPr>
      <w:r w:rsidRPr="00590145">
        <w:t>projectbesluit waterschap treedt in werking 4 weken na de dag van bekendmaking van het besluit over de goedkeuring</w:t>
      </w:r>
      <w:r w:rsidR="00BD07DD">
        <w:rPr>
          <w:rStyle w:val="Voetnootmarkering"/>
        </w:rPr>
        <w:footnoteReference w:id="38"/>
      </w:r>
      <w:r w:rsidR="00BA3DFC">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