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261373" w:rsidRPr="007B60F8" w:rsidRDefault="00624D76" w:rsidP="007D5679">
      <w:pPr>
        <w:pStyle w:val="Kop5"/>
      </w:pPr>
      <w:r w:rsidRPr="007B60F8">
        <w:t>Raadplegen in DSO-LV</w:t>
      </w:r>
    </w:p>
    <w:p w14:paraId="4CA800A1" w14:textId="1A854438" w:rsidR="00261373" w:rsidRPr="007B60F8" w:rsidRDefault="00624D76" w:rsidP="003D5A24">
      <w:r w:rsidRPr="007B60F8">
        <w:t xml:space="preserve">DSO-LV ontvangt de geconsolideerde regeling met de </w:t>
      </w:r>
      <w:r>
        <w:t>OW-object</w:t>
      </w:r>
      <w:r w:rsidRPr="007B60F8">
        <w: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locaties. De getoonde tekst komt uit de geconsolideerde Regelingen vanuit de officiële publicatiebladen.</w:t>
      </w:r>
    </w:p>
    <w:p w14:paraId="642CEFC3" w14:textId="2C930BDA" w:rsidR="00261373" w:rsidRPr="007B60F8" w:rsidRDefault="00624D76" w:rsidP="003D5A24">
      <w:r w:rsidRPr="007B60F8">
        <w:t>Tot slot vormen</w:t>
      </w:r>
      <w:r>
        <w:t xml:space="preserve">, in </w:t>
      </w:r>
      <w:r w:rsidRPr="00890B76">
        <w:t>omgevingsdocumenten met artikelstructuur waarin regels over activiteiten worden gesteld</w:t>
      </w:r>
      <w:r>
        <w:t>,</w:t>
      </w:r>
      <w:r w:rsidRPr="007B60F8">
        <w:t xml:space="preserve"> de </w:t>
      </w:r>
      <w:r>
        <w:t>OW-object</w:t>
      </w:r>
      <w:r w:rsidRPr="007B60F8">
        <w:t xml:space="preserve">en </w:t>
      </w:r>
      <w:r>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