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CD2C" w14:textId="7A876AC4" w:rsidR="00261373" w:rsidRPr="00307038" w:rsidRDefault="00624D76" w:rsidP="000F2CCF">
      <w:pPr>
        <w:pStyle w:val="Kop4"/>
      </w:pPr>
      <w:r>
        <w:t xml:space="preserve">Het juridische besluit in de informatiekundige context van de </w:t>
      </w:r>
      <w:r w:rsidRPr="00455DCD">
        <w:t>STOP/TPOD-standaard</w:t>
      </w:r>
    </w:p>
    <w:p w14:paraId="13B4A6F3" w14:textId="16687556" w:rsidR="00261373" w:rsidRDefault="00624D76" w:rsidP="000F2CCF">
      <w:r>
        <w:t xml:space="preserve">De LVBB moet kunnen bepalen wat in het publicatieblad gepubliceerd dan wel bekendgemaakt moet worden (namelijk alles wat behoort tot het in de vorige paragraaf beschreven besluit in de juridische context) en dat wat geconsolideerd moet worden. Daartoe maakt de STOP/TPOD-standaard </w:t>
      </w:r>
      <w:r w:rsidRPr="003E45AB">
        <w:t>onderscheid</w:t>
      </w:r>
      <w:r>
        <w:t xml:space="preserve"> tussen Besluit en Regeling.</w:t>
      </w:r>
    </w:p>
    <w:p w14:paraId="1A4FA938" w14:textId="14757A84" w:rsidR="00261373" w:rsidRDefault="00261373" w:rsidP="000F2CCF"/>
    <w:p w14:paraId="5BC3F2E9" w14:textId="7D1B7CF7" w:rsidR="00261373" w:rsidRDefault="00624D76" w:rsidP="000F2CCF">
      <w:r w:rsidRPr="00C40EC9">
        <w:t>De Regeling bevat de juridische regels c.q. beleid</w:t>
      </w:r>
      <w:r>
        <w:t>- of realisatietekst</w:t>
      </w:r>
      <w:r w:rsidRPr="00C40EC9">
        <w:t xml:space="preserve"> </w:t>
      </w:r>
      <w:r>
        <w:t xml:space="preserve">en de geografische begrenzingen van de gebieden waar de regels c.q. de beleid- of realisatietekst gelden, </w:t>
      </w:r>
      <w:r w:rsidRPr="00C40EC9">
        <w:t>die door het bestuursorgaan worden vastgesteld, gewijzigd of ingetrokken.</w:t>
      </w:r>
      <w:r>
        <w:t xml:space="preserve"> </w:t>
      </w:r>
      <w:r w:rsidRPr="009A420A">
        <w:t xml:space="preserve">Voorbeelden zijn het omgevingsplan en de omgevingsvisie. </w:t>
      </w:r>
      <w:r>
        <w:t xml:space="preserve">Het Besluit bevat de tekst </w:t>
      </w:r>
      <w:r w:rsidRPr="00DB28EB">
        <w:t xml:space="preserve">waarmee het bestuursorgaan bepaalt wat er gebeurt bij de bekendmaking: </w:t>
      </w:r>
      <w:r>
        <w:t xml:space="preserve">het stelt </w:t>
      </w:r>
      <w:r w:rsidRPr="00DB28EB">
        <w:t xml:space="preserve">een initiële regeling vast, </w:t>
      </w:r>
      <w:r>
        <w:t xml:space="preserve">het wijzigt </w:t>
      </w:r>
      <w:r w:rsidRPr="00DB28EB">
        <w:t xml:space="preserve">een regeling, </w:t>
      </w:r>
      <w:r>
        <w:t xml:space="preserve">het trekt </w:t>
      </w:r>
      <w:r w:rsidRPr="00DB28EB">
        <w:t xml:space="preserve">een regeling in etc. Het </w:t>
      </w:r>
      <w:r w:rsidRPr="00262D0B">
        <w:t xml:space="preserve">bestuursorgaan </w:t>
      </w:r>
      <w:r w:rsidRPr="00DB28EB">
        <w:t>bepaalt ook wanneer</w:t>
      </w:r>
      <w:r>
        <w:t xml:space="preserve"> die vaststelling, wijziging of intrekking</w:t>
      </w:r>
      <w:r w:rsidRPr="00DB28EB">
        <w:t xml:space="preserve"> in werking treedt.</w:t>
      </w:r>
      <w:r>
        <w:t xml:space="preserve"> </w:t>
      </w:r>
      <w:r w:rsidRPr="008561FF">
        <w:t>Onderdeel van het Besluit is dus ook de nieuwe regeling of de wijziging van de regeling.</w:t>
      </w:r>
      <w:r>
        <w:t xml:space="preserve"> </w:t>
      </w:r>
      <w:r w:rsidRPr="00F532DF">
        <w:t>Voorbeelden zijn het raadsbesluit met alle bijbehorende onderdelen waarmee de gemeenteraad een wijziging van het omgevingsplan vaststelt en het statenbesluit met alle bijbehorende onderdelen waarmee provinciale staten de omgevingsvisie vaststellen.</w:t>
      </w:r>
    </w:p>
    <w:p w14:paraId="4476878B" w14:textId="77777777" w:rsidR="00261373" w:rsidRDefault="00261373" w:rsidP="000F2CCF"/>
    <w:p w14:paraId="30BA6324" w14:textId="23ABB5A4" w:rsidR="00261373" w:rsidRDefault="00624D76" w:rsidP="00713915">
      <w:r w:rsidRPr="00724BCC">
        <w:lastRenderedPageBreak/>
        <w:t>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w:t>
      </w:r>
      <w:r w:rsidRPr="00625E2D">
        <w:t xml:space="preserve">in het publicatieblad </w:t>
      </w:r>
      <w:r>
        <w:t xml:space="preserve">van het bevoegd gezag </w:t>
      </w:r>
      <w:r w:rsidRPr="00724BCC">
        <w:t xml:space="preserve">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890AE1">
        <w:t>het projectbesluit</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weer te geven 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890AE1">
        <w:t>het projectbesluit</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890AE1">
        <w:t>het projectbesluit</w:t>
      </w:r>
      <w:r w:rsidRPr="007B60F8">
        <w:fldChar w:fldCharType="end"/>
      </w:r>
      <w:r w:rsidRPr="00B26823">
        <w:t xml:space="preserve"> </w:t>
      </w:r>
      <w:r w:rsidRPr="007B60F8">
        <w:t>die in DSO-LV te raadplegen is.</w:t>
      </w:r>
    </w:p>
    <w:p w14:paraId="073728F9" w14:textId="53F17799" w:rsidR="00261373" w:rsidRDefault="00624D76" w:rsidP="00713915">
      <w:r w:rsidRPr="00F625E8">
        <w:t xml:space="preserve">Bij Besluit en Regeling kunnen bijlagen worden gevoegd die integraal onderdeel zijn van de tekst van Besluit of Regeling maar om redenen van leesbaarheid e.d. niet in het lichaam van Besluit of Regeling kunnen worden opgenomen. Rapportages van onderzoeken die zijn uitgevoerd ter onderbouwing van het nemen van het juridische besluit als bedoeld in de vorige paragraaf zijn op het besluit betrekking hebbende stukken. Het zijn geen bijlagen bij Besluit of Regeling als bedoeld in de STOP/TPOD-standaard. Ze worden niet in de publicatiebladen gepubliceerd maar ter inzage gelegd. </w:t>
      </w:r>
      <w:r>
        <w:t xml:space="preserve">Zie voor de </w:t>
      </w:r>
      <w:r w:rsidRPr="00BC2067">
        <w:t xml:space="preserve">elektronische terinzagelegging van deze stukken </w:t>
      </w:r>
      <w:r w:rsidRPr="00F625E8">
        <w:t xml:space="preserve">paragraaf </w:t>
      </w:r>
      <w:r>
        <w:rPr>
          <w:highlight w:val="yellow"/>
        </w:rPr>
        <w:fldChar w:fldCharType="begin"/>
      </w:r>
      <w:r>
        <w:instrText xml:space="preserve"> REF _Ref_f38335efbceb85dc723299f2fee24312_1 \n \h </w:instrText>
      </w:r>
      <w:r>
        <w:rPr>
          <w:highlight w:val="yellow"/>
        </w:rPr>
      </w:r>
      <w:r>
        <w:rPr>
          <w:highlight w:val="yellow"/>
        </w:rPr>
        <w:fldChar w:fldCharType="separate"/>
      </w:r>
      <w:r w:rsidR="00890AE1">
        <w:t>4.2.3</w:t>
      </w:r>
      <w:r>
        <w:rPr>
          <w:highlight w:val="yellow"/>
        </w:rPr>
        <w:fldChar w:fldCharType="end"/>
      </w:r>
      <w:r w:rsidRPr="00F625E8">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