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261373" w:rsidRDefault="00624D76" w:rsidP="00E21F2A">
      <w:pPr>
        <w:pStyle w:val="Kop4"/>
      </w:pPr>
      <w:bookmarkStart w:id="64" w:name="_Ref_f38335efbceb85dc723299f2fee24312_1"/>
      <w:r>
        <w:t>O</w:t>
      </w:r>
      <w:r w:rsidRPr="00C82D00">
        <w:t>p het besluit betrekking hebbende stukken</w:t>
      </w:r>
      <w:bookmarkEnd w:id="64"/>
    </w:p>
    <w:p w14:paraId="7D08470E" w14:textId="0CA4B5DA" w:rsidR="00261373" w:rsidRDefault="00624D76" w:rsidP="00E21F2A">
      <w:r>
        <w:t xml:space="preserve">In paragraaf </w:t>
      </w:r>
      <w:r>
        <w:fldChar w:fldCharType="begin"/>
      </w:r>
      <w:r>
        <w:instrText xml:space="preserve"> REF _Ref_008e19ab69281bfe464efb96b741ae98_1 \n \h </w:instrText>
      </w:r>
      <w:r>
        <w:fldChar w:fldCharType="separate"/>
      </w:r>
      <w:r w:rsidR="00890AE1">
        <w:t>4.2.1</w:t>
      </w:r>
      <w:r>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t>geen integraal onderdeel vormen van de tekst van 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 en de zienswijzennota. Volgens Awb en Bekendmakingswet zijn o</w:t>
      </w:r>
      <w:r w:rsidRPr="003F244F">
        <w:t xml:space="preserve">p het </w:t>
      </w:r>
      <w:r>
        <w:t>(ontwerp)</w:t>
      </w:r>
      <w:r w:rsidRPr="003F244F">
        <w:t>besluit betrekking hebbende stukken</w:t>
      </w:r>
      <w:r>
        <w:t xml:space="preserve"> geen onderdeel van de publicatie of bekendmaking in het publicatieblad, maar worden ze ter inzage gelegd. Vanuit het besluit in het publicatieblad moet het mogelijk zijn om op eenvoudige wijze de elektronisch </w:t>
      </w:r>
      <w:r w:rsidRPr="00014C8E">
        <w:t>ter inzage gelegd</w:t>
      </w:r>
      <w:r>
        <w:t>e stukken te raadplegen.</w:t>
      </w:r>
    </w:p>
    <w:p w14:paraId="67CA441E" w14:textId="3126F0D1" w:rsidR="00261373" w:rsidRDefault="00624D76" w:rsidP="00E21F2A">
      <w:r>
        <w:t>Over deze stukken bepaalt de Awb het volgende:</w:t>
      </w:r>
    </w:p>
    <w:p w14:paraId="1CF769B3" w14:textId="406A29B3" w:rsidR="00261373" w:rsidRDefault="00624D76" w:rsidP="00AC1635">
      <w:pPr>
        <w:pStyle w:val="Opsommingtekens1"/>
      </w:pPr>
      <w:r>
        <w:t xml:space="preserve">De op het ontwerpbesluit betrekking hebbende stukken liggen ter inzage gedurende de </w:t>
      </w:r>
      <w:r w:rsidRPr="001C167F">
        <w:t xml:space="preserve">termijn </w:t>
      </w:r>
      <w:r>
        <w:t xml:space="preserve">van zes weken </w:t>
      </w:r>
      <w:r w:rsidRPr="001C167F">
        <w:t>voor het naar voren brengen van zienswijzen</w:t>
      </w:r>
      <w:r>
        <w:t xml:space="preserve">, die begint op </w:t>
      </w:r>
      <w:r w:rsidRPr="00B9108A">
        <w:t>de dag waarop het ontwerp ter inzage is gelegd en daarvan kennis is gegeven</w:t>
      </w:r>
      <w:r>
        <w:rPr>
          <w:rStyle w:val="Voetnootmarkering"/>
        </w:rPr>
        <w:footnoteReference w:id="69"/>
      </w:r>
      <w:r>
        <w:t>.</w:t>
      </w:r>
    </w:p>
    <w:p w14:paraId="69F17B89" w14:textId="5A9EC307" w:rsidR="00261373" w:rsidRDefault="00624D76" w:rsidP="00AC1635">
      <w:pPr>
        <w:pStyle w:val="Opsommingtekens1"/>
      </w:pPr>
      <w:r>
        <w:t xml:space="preserve">De op het definitieve besluit betrekking hebbende </w:t>
      </w:r>
      <w:r w:rsidRPr="00ED2A28">
        <w:t xml:space="preserve">stukken liggen ter inzage totdat de beroepstermijn </w:t>
      </w:r>
      <w:r>
        <w:t xml:space="preserve">van zes weken </w:t>
      </w:r>
      <w:r w:rsidRPr="00ED2A28">
        <w:t>is verstreken</w:t>
      </w:r>
      <w:r>
        <w:rPr>
          <w:rStyle w:val="Voetnootmarkering"/>
        </w:rPr>
        <w:footnoteReference w:id="70"/>
      </w:r>
      <w:r>
        <w:t xml:space="preserve">. De beroepstermijn begint op </w:t>
      </w:r>
      <w:r w:rsidRPr="00C07026">
        <w:t>de dag na die waarop het besluit op de voorgeschreven wijze is bekendgemaakt</w:t>
      </w:r>
      <w:r>
        <w:t xml:space="preserve"> </w:t>
      </w:r>
      <w:r w:rsidRPr="001A712D">
        <w:t>(of, in het geval van een besluit dat aan goedkeuring is onderworpen, op de dag na die waarop het goedkeuringsbesluit op de voorgeschreven wijze is bekendgemaakt)</w:t>
      </w:r>
      <w:r>
        <w:rPr>
          <w:rStyle w:val="Voetnootmarkering"/>
        </w:rPr>
        <w:footnoteReference w:id="71"/>
      </w:r>
      <w:r w:rsidRPr="0011096A">
        <w:t>.</w:t>
      </w:r>
    </w:p>
    <w:p w14:paraId="0520EC4E" w14:textId="64E41B49" w:rsidR="00261373" w:rsidRDefault="00624D76" w:rsidP="00DC2F51">
      <w:r>
        <w:t>U</w:t>
      </w:r>
      <w:r w:rsidRPr="00DC2F51">
        <w:t xml:space="preserve">itgangspunt van de wetgever </w:t>
      </w:r>
      <w:r>
        <w:t xml:space="preserve">is dus </w:t>
      </w:r>
      <w:r w:rsidRPr="00DC2F51">
        <w:t xml:space="preserve">dat </w:t>
      </w:r>
      <w:r>
        <w:t xml:space="preserve">de </w:t>
      </w:r>
      <w:r w:rsidRPr="00DC2F51">
        <w:t xml:space="preserve">op </w:t>
      </w:r>
      <w:r>
        <w:t xml:space="preserve">het (ontwerp)besluit </w:t>
      </w:r>
      <w:r w:rsidRPr="00DC2F51">
        <w:t xml:space="preserve">betrekking hebbende stukken gedurende </w:t>
      </w:r>
      <w:r>
        <w:t xml:space="preserve">de </w:t>
      </w:r>
      <w:r w:rsidRPr="00DC2F51">
        <w:t xml:space="preserve">zes weken </w:t>
      </w:r>
      <w:r>
        <w:t>van de zienswijzen- respectievelijk beroepstermijn ter inzage liggen</w:t>
      </w:r>
      <w:r w:rsidRPr="00DC2F51">
        <w:t xml:space="preserve">. </w:t>
      </w:r>
      <w:r>
        <w:t xml:space="preserve">Het kan uiteraard voorkomen dat betrokkenen ook na die termijnen kennis willen nemen van deze stukken. Als de stukken dan niet meer elektronisch worden ontsloten, zou een betrokkene het bestuursorgaan moeten verzoeken om toezending van die stukken, of naar een fysieke locatie toe moeten om inzage te krijgen in die stukken. Daarom wordt aanbevolen om </w:t>
      </w:r>
      <w:r w:rsidRPr="007B7C3B">
        <w:t xml:space="preserve">de </w:t>
      </w:r>
      <w:r w:rsidRPr="00734F9D">
        <w:t xml:space="preserve">elektronische </w:t>
      </w:r>
      <w:r w:rsidRPr="007B7C3B">
        <w:t xml:space="preserve">terinzagelegging van </w:t>
      </w:r>
      <w:r>
        <w:t xml:space="preserve">de </w:t>
      </w:r>
      <w:r w:rsidRPr="00D2422D">
        <w:t>op het ontwerpbesluit betrekking hebbende stukken</w:t>
      </w:r>
      <w:r>
        <w:t xml:space="preserve"> en de </w:t>
      </w:r>
      <w:r w:rsidRPr="00D2422D">
        <w:t xml:space="preserve">op het </w:t>
      </w:r>
      <w:r>
        <w:t xml:space="preserve">(definitieve) </w:t>
      </w:r>
      <w:r w:rsidRPr="00D2422D">
        <w:t>besluit betrekking hebbende stukken</w:t>
      </w:r>
      <w:r>
        <w:t xml:space="preserve"> in ieder geval te laten </w:t>
      </w:r>
      <w:r w:rsidRPr="007B7C3B">
        <w:t xml:space="preserve">voortduren totdat de volledige procedure is afgerond. </w:t>
      </w:r>
      <w:r>
        <w:t xml:space="preserve">Bij een besluit waartegen geen beroep openstaat is dat totdat het besluit in werking is getreden. </w:t>
      </w:r>
      <w:r w:rsidRPr="00A06095">
        <w:t xml:space="preserve">Bij een </w:t>
      </w:r>
      <w:r w:rsidRPr="00A06095">
        <w:lastRenderedPageBreak/>
        <w:t xml:space="preserve">besluit waartegen </w:t>
      </w:r>
      <w:r>
        <w:t xml:space="preserve">wel </w:t>
      </w:r>
      <w:r w:rsidRPr="00A06095">
        <w:t xml:space="preserve">beroep openstaat </w:t>
      </w:r>
      <w:r w:rsidRPr="007B7C3B">
        <w:t xml:space="preserve">is </w:t>
      </w:r>
      <w:r>
        <w:t xml:space="preserve">dat </w:t>
      </w:r>
      <w:r w:rsidRPr="007B7C3B">
        <w:t>in ieder geval tot het einde van de beroepstermijn en, als beroep tegen het besluit is ingesteld, totdat de Afdeling bestuursrechtspraak van de Raad van State uitspraak heeft gedaan op de beroepen.</w:t>
      </w:r>
    </w:p>
    <w:p w14:paraId="3A69A562" w14:textId="2BEBB81D" w:rsidR="00261373" w:rsidRDefault="00624D76" w:rsidP="00701B57">
      <w:r>
        <w:t xml:space="preserve">Naast de verplichting om </w:t>
      </w:r>
      <w:r w:rsidRPr="00282E28">
        <w:t>op het (ontwerp)besluit betrekking hebbende stukken</w:t>
      </w:r>
      <w:r>
        <w:t xml:space="preserve"> ter inzage te leggen, gelden ook de verplichtingen uit de Archiefwet. Op grond van deze wet zijn </w:t>
      </w:r>
      <w:r w:rsidRPr="00A201D6">
        <w:t>overheidsorganen verplicht de onder hen berustende archiefbescheiden te bewaren</w:t>
      </w:r>
      <w:r>
        <w:t xml:space="preserve"> en om</w:t>
      </w:r>
      <w:r w:rsidRPr="00A201D6">
        <w:t xml:space="preserve"> </w:t>
      </w:r>
      <w:r>
        <w:t xml:space="preserve">ze na afloop van de voor het betreffende stuk geldende bewaartermijn </w:t>
      </w:r>
      <w:r w:rsidRPr="00A201D6">
        <w:t>te vernietig</w:t>
      </w:r>
      <w:r>
        <w:t>e</w:t>
      </w:r>
      <w:r w:rsidRPr="00A201D6">
        <w:t>n.</w:t>
      </w:r>
    </w:p>
    <w:p w14:paraId="419ADC32" w14:textId="77777777" w:rsidR="00261373" w:rsidRPr="006922CF" w:rsidRDefault="00624D76" w:rsidP="00E21F2A">
      <w:pPr>
        <w:pStyle w:val="Kader"/>
      </w:pPr>
      <w:r w:rsidRPr="00B26823">
        <w:rPr>
          <w:noProof/>
        </w:rPr>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261373" w:rsidRPr="00D80A79" w:rsidRDefault="00624D76" w:rsidP="00E21F2A">
                            <w:pPr>
                              <w:rPr>
                                <w:b/>
                                <w:bCs/>
                              </w:rPr>
                            </w:pPr>
                            <w:r w:rsidRPr="00D80A79">
                              <w:rPr>
                                <w:b/>
                                <w:bCs/>
                              </w:rPr>
                              <w:t>Toekomstige functionaliteit</w:t>
                            </w:r>
                          </w:p>
                          <w:p w14:paraId="30968709" w14:textId="388A6DA9" w:rsidR="00261373" w:rsidRDefault="00624D76"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261373" w:rsidRDefault="00261373" w:rsidP="00E21F2A"/>
                          <w:p w14:paraId="4748C55F" w14:textId="77777777" w:rsidR="00261373" w:rsidRPr="00694434" w:rsidRDefault="00624D76" w:rsidP="00E21F2A">
                            <w:pPr>
                              <w:rPr>
                                <w:b/>
                                <w:bCs/>
                              </w:rPr>
                            </w:pPr>
                            <w:r w:rsidRPr="00694434">
                              <w:rPr>
                                <w:b/>
                                <w:bCs/>
                              </w:rPr>
                              <w:t>Workaround</w:t>
                            </w:r>
                          </w:p>
                          <w:p w14:paraId="4DC89EF5" w14:textId="724EDE8B" w:rsidR="00261373" w:rsidRDefault="00624D76"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261373" w:rsidRDefault="00624D76"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261373" w:rsidRDefault="00624D76">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261373" w:rsidRDefault="00261373" w:rsidP="00F04571"/>
                          <w:p w14:paraId="2B64539F" w14:textId="00E2B4FD" w:rsidR="00261373" w:rsidRDefault="00624D76"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C75CD2">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261373" w:rsidRPr="0022671B" w:rsidRDefault="00624D76"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D49011" id="Tekstvak 33" o:spid="_x0000_s102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s1LwIAAFo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Y8E7KE7Ig4G+Razm6xrDb5h1z8xgT2B92OfuCZdSAuYEg0VJBebP/869P0qFKCUt9lhO&#10;FQ4BJfKnQgnvktST5sImnX2b4sZcI7trRB2aFWCZCc6T5sH0/k6OZmmgecVhWPo3EWKK48s5daO5&#10;cn3f4zBxsVwGJ2xCzdxGbTX3oUdSX7pXZvQglkOdH2HsRZa90az39TetXh4cKhcE9Sz3nA7kYwOH&#10;lhiGzU/I9T54XX4Ji78A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CQPqzUvAgAAWgQAAA4AAAAAAAAAAAAAAAAALgIAAGRy&#10;cy9lMm9Eb2MueG1sUEsBAi0AFAAGAAgAAAAhAOnrBNPcAAAABQEAAA8AAAAAAAAAAAAAAAAAiQQA&#10;AGRycy9kb3ducmV2LnhtbFBLBQYAAAAABAAEAPMAAACSBQAAAAA=&#10;" filled="f" strokeweight=".5pt">
                <v:textbox style="mso-fit-shape-to-text:t">
                  <w:txbxContent>
                    <w:p w14:paraId="4F001BFF" w14:textId="77777777" w:rsidR="00261373" w:rsidRPr="00D80A79" w:rsidRDefault="00624D76" w:rsidP="00E21F2A">
                      <w:pPr>
                        <w:rPr>
                          <w:b/>
                          <w:bCs/>
                        </w:rPr>
                      </w:pPr>
                      <w:r w:rsidRPr="00D80A79">
                        <w:rPr>
                          <w:b/>
                          <w:bCs/>
                        </w:rPr>
                        <w:t>Toekomstige functionaliteit</w:t>
                      </w:r>
                    </w:p>
                    <w:p w14:paraId="30968709" w14:textId="388A6DA9" w:rsidR="00261373" w:rsidRDefault="00624D76"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261373" w:rsidRDefault="00261373" w:rsidP="00E21F2A"/>
                    <w:p w14:paraId="4748C55F" w14:textId="77777777" w:rsidR="00261373" w:rsidRPr="00694434" w:rsidRDefault="00624D76" w:rsidP="00E21F2A">
                      <w:pPr>
                        <w:rPr>
                          <w:b/>
                          <w:bCs/>
                        </w:rPr>
                      </w:pPr>
                      <w:r w:rsidRPr="00694434">
                        <w:rPr>
                          <w:b/>
                          <w:bCs/>
                        </w:rPr>
                        <w:t>Workaround</w:t>
                      </w:r>
                    </w:p>
                    <w:p w14:paraId="4DC89EF5" w14:textId="724EDE8B" w:rsidR="00261373" w:rsidRDefault="00624D76"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261373" w:rsidRDefault="00624D76"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261373" w:rsidRDefault="00624D76">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261373" w:rsidRDefault="00261373" w:rsidP="00F04571"/>
                    <w:p w14:paraId="2B64539F" w14:textId="00E2B4FD" w:rsidR="00261373" w:rsidRDefault="00624D76"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C75CD2">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261373" w:rsidRPr="0022671B" w:rsidRDefault="00624D76"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