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5670" w14:textId="77777777" w:rsidR="003B066C" w:rsidRDefault="003B066C" w:rsidP="003B066C">
      <w:pPr>
        <w:pStyle w:val="Kop4"/>
      </w:pPr>
      <w:bookmarkStart w:id="97" w:name="_Ref_55b4b9deeca35144cded98f0b61a9ada_1"/>
      <w:r>
        <w:t>Regeling: RegelingTijdelijkdeel voor wijzigen omgevingsplan</w:t>
      </w:r>
      <w:bookmarkEnd w:id="97"/>
    </w:p>
    <w:p w14:paraId="0A49D36B" w14:textId="77777777" w:rsidR="003B066C" w:rsidRDefault="003B066C" w:rsidP="003B066C">
      <w:r w:rsidRPr="000E1401">
        <w:t>In de Regeling van een omgevingsdocument staat welke regels of beleid gelden in de fysieke leefomgeving</w:t>
      </w:r>
      <w:r w:rsidRPr="00594792">
        <w:t xml:space="preserve">, dan wel, in het geval van </w:t>
      </w:r>
      <w:r>
        <w:t xml:space="preserve">het vrijetekstgedeelte van het </w:t>
      </w:r>
      <w:r w:rsidRPr="00594792">
        <w:t>projectbesluit, wat er wordt gerealiseerd in de fysieke leefomgeving</w:t>
      </w:r>
      <w:r w:rsidRPr="000E1401">
        <w:t>. De Regeling is te vinden in de regelingenbank op overheid.nl en in DSO-LV.</w:t>
      </w:r>
    </w:p>
    <w:p w14:paraId="4D406359" w14:textId="04B4B8D1" w:rsidR="003B066C" w:rsidRDefault="003B066C" w:rsidP="003B066C">
      <w:r w:rsidRPr="00D05D87">
        <w:t xml:space="preserve">In paragraaf </w:t>
      </w:r>
      <w:r>
        <w:fldChar w:fldCharType="begin"/>
      </w:r>
      <w:r>
        <w:instrText xml:space="preserve"> REF _Ref_9d2d3be7c5d28c301a050583e3792ca2_2 \n \h </w:instrText>
      </w:r>
      <w:r>
        <w:fldChar w:fldCharType="separate"/>
      </w:r>
      <w:r w:rsidR="00890AE1">
        <w:t>4.4.4.1</w:t>
      </w:r>
      <w:r>
        <w:fldChar w:fldCharType="end"/>
      </w:r>
      <w:r w:rsidRPr="00D05D87">
        <w:t xml:space="preserve"> is de norm voor het model </w:t>
      </w:r>
      <w:r>
        <w:t>voor het tijdelijk regelingdeel</w:t>
      </w:r>
      <w:r w:rsidRPr="00D05D87">
        <w:t xml:space="preserve"> </w:t>
      </w:r>
      <w:r w:rsidR="00C977D4" w:rsidRPr="00C977D4">
        <w:t>bij</w:t>
      </w:r>
      <w:r>
        <w:t xml:space="preserve">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fldChar w:fldCharType="begin"/>
      </w:r>
      <w:r>
        <w:instrText xml:space="preserve"> REF _Ref_377b8b063a16659e3ee1431eed84f966_2 \n \h </w:instrText>
      </w:r>
      <w:r>
        <w:fldChar w:fldCharType="separate"/>
      </w:r>
      <w:r w:rsidR="00890AE1">
        <w:t>4.4.4.2</w:t>
      </w:r>
      <w:r>
        <w:fldChar w:fldCharType="end"/>
      </w:r>
      <w:r w:rsidRPr="00D05D87">
        <w:t xml:space="preserve"> geeft een uitgebreide toelichting op de elementen van d</w:t>
      </w:r>
      <w:r>
        <w:t>e</w:t>
      </w:r>
      <w:r w:rsidRPr="00D05D87">
        <w:t xml:space="preserve"> </w:t>
      </w:r>
      <w:r>
        <w:t>Regeling</w:t>
      </w:r>
      <w:r w:rsidRPr="001F0DEB">
        <w:t>, waaronder ook tips over het al dan niet gebruikelijk zijn van een bepaald element</w:t>
      </w:r>
      <w:r w:rsidRPr="00D05D87">
        <w:t xml:space="preserve">. In paragraaf </w:t>
      </w:r>
      <w:r>
        <w:fldChar w:fldCharType="begin"/>
      </w:r>
      <w:r>
        <w:instrText xml:space="preserve"> REF _Ref_f1b7a7c74e1b3c630e4f55e131919569_1 \n \h </w:instrText>
      </w:r>
      <w:r>
        <w:fldChar w:fldCharType="separate"/>
      </w:r>
      <w:r w:rsidR="00890AE1">
        <w:t>4.4.4.3</w:t>
      </w:r>
      <w:r>
        <w:fldChar w:fldCharType="end"/>
      </w:r>
      <w:r>
        <w:t xml:space="preserve"> </w:t>
      </w:r>
      <w:r w:rsidRPr="00D05D87">
        <w:t>worden norm en toelichting concreet gemaakt met een voorbeeld.</w:t>
      </w:r>
    </w:p>
    <w:p w14:paraId="3A301F01" w14:textId="77777777" w:rsidR="003B066C" w:rsidRDefault="003B066C" w:rsidP="003B066C">
      <w:r w:rsidRPr="007F3EDF">
        <w:t>Opgemerkt wordt dat de modellen voor Besluit en Regeling XML-modellen zijn. Met de in de volgende paragrafen genoemde elementen worden dus (STOP-)XML-elementen bedoeld.</w:t>
      </w:r>
    </w:p>
    <w:p w14:paraId="632242C0" w14:textId="77777777" w:rsidR="003B066C" w:rsidRDefault="003B066C" w:rsidP="003B066C">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3467B457" w14:textId="77777777" w:rsidR="003B066C" w:rsidRDefault="003B066C" w:rsidP="003B066C"/>
    <w:p w14:paraId="097E395D" w14:textId="77777777" w:rsidR="003B066C" w:rsidRDefault="003B066C" w:rsidP="003B066C">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A6B4A66" w14:textId="77777777" w:rsidR="003B066C" w:rsidRDefault="003B066C" w:rsidP="003B066C">
      <w:pPr>
        <w:pStyle w:val="Kader"/>
      </w:pPr>
      <w:r w:rsidRPr="00B26823">
        <w:rPr>
          <w:noProof/>
        </w:rPr>
        <mc:AlternateContent>
          <mc:Choice Requires="wps">
            <w:drawing>
              <wp:inline distT="0" distB="0" distL="0" distR="0" wp14:anchorId="1183AC7F" wp14:editId="037D3512">
                <wp:extent cx="5400040" cy="985631"/>
                <wp:effectExtent l="0" t="0" r="22860" b="22860"/>
                <wp:docPr id="1039588388" name="Tekstvak 103958838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BB21C0D" w14:textId="77777777" w:rsidR="003B066C" w:rsidRPr="009A08A2" w:rsidRDefault="003B066C" w:rsidP="003B066C">
                            <w:pPr>
                              <w:rPr>
                                <w:b/>
                                <w:bCs/>
                              </w:rPr>
                            </w:pPr>
                            <w:r w:rsidRPr="009A08A2">
                              <w:rPr>
                                <w:b/>
                                <w:bCs/>
                              </w:rPr>
                              <w:t>Toekomstige functionaliteit</w:t>
                            </w:r>
                          </w:p>
                          <w:p w14:paraId="7AEB15DB" w14:textId="77777777" w:rsidR="003B066C" w:rsidRDefault="003B066C" w:rsidP="003B066C">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27B26B92" w14:textId="77777777" w:rsidR="003B066C" w:rsidRDefault="003B066C" w:rsidP="003B066C"/>
                          <w:p w14:paraId="02D58102" w14:textId="77777777" w:rsidR="003B066C" w:rsidRPr="00795511" w:rsidRDefault="003B066C" w:rsidP="003B066C">
                            <w:pPr>
                              <w:rPr>
                                <w:b/>
                                <w:bCs/>
                              </w:rPr>
                            </w:pPr>
                            <w:r w:rsidRPr="00795511">
                              <w:rPr>
                                <w:b/>
                                <w:bCs/>
                              </w:rPr>
                              <w:t>Workaround</w:t>
                            </w:r>
                          </w:p>
                          <w:p w14:paraId="53C2C958" w14:textId="77777777" w:rsidR="003B066C" w:rsidRPr="00C352EA" w:rsidRDefault="003B066C" w:rsidP="003B066C">
                            <w:r w:rsidRPr="00EF534E">
                              <w:t>Zolang de ontwerpversie van het tijdelijk regelingdeel niet in de STOP/TPOD-standaard is gemodelleerd en beschreven en niet in de DSO-keten is geïmplementeerd,</w:t>
                            </w:r>
                            <w:r>
                              <w:t xml:space="preserve"> worden </w:t>
                            </w:r>
                            <w:r w:rsidRPr="00A457C0">
                              <w:t xml:space="preserve">de wijzigingen die het projectbesluit in die omgevingsplannen aanbrengt, in het vrijetekstgedeelte </w:t>
                            </w:r>
                            <w:r>
                              <w:t xml:space="preserve">van het projectbesluit </w:t>
                            </w:r>
                            <w:r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83AC7F" id="Tekstvak 1039588388" o:spid="_x0000_s102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ErLwIAAFk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Fh1+8W8iPB4OA0Id7KVUXh18Lji3A0EtQejTk+01FooJrgLHFWgvv1t/vgT0yRlbOGRizj&#10;hnaAM/3DEIP3/VHADKMyGn8dkOJuLdtbi9nXS6A2+7ROVkYx+KPuxMJB/U67sAg5ySSMpMwZx05c&#10;4mnsaZekWiyiE82gFbg2GytD6A7U1/ZdOHsmC4nmJ+hGUUw/cHbyDS+9XeyRmIuEBpRPmJ7Bp/mN&#10;3Jx3LSzIrR69rn+E+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QibErLwIAAFkEAAAOAAAAAAAAAAAAAAAAAC4CAABkcnMv&#10;ZTJvRG9jLnhtbFBLAQItABQABgAIAAAAIQAt+CFs2gAAAAUBAAAPAAAAAAAAAAAAAAAAAIkEAABk&#10;cnMvZG93bnJldi54bWxQSwUGAAAAAAQABADzAAAAkAUAAAAA&#10;" filled="f" strokeweight=".5pt">
                <v:textbox style="mso-fit-shape-to-text:t">
                  <w:txbxContent>
                    <w:p w14:paraId="7BB21C0D" w14:textId="77777777" w:rsidR="003B066C" w:rsidRPr="009A08A2" w:rsidRDefault="003B066C" w:rsidP="003B066C">
                      <w:pPr>
                        <w:rPr>
                          <w:b/>
                          <w:bCs/>
                        </w:rPr>
                      </w:pPr>
                      <w:r w:rsidRPr="009A08A2">
                        <w:rPr>
                          <w:b/>
                          <w:bCs/>
                        </w:rPr>
                        <w:t>Toekomstige functionaliteit</w:t>
                      </w:r>
                    </w:p>
                    <w:p w14:paraId="7AEB15DB" w14:textId="77777777" w:rsidR="003B066C" w:rsidRDefault="003B066C" w:rsidP="003B066C">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27B26B92" w14:textId="77777777" w:rsidR="003B066C" w:rsidRDefault="003B066C" w:rsidP="003B066C"/>
                    <w:p w14:paraId="02D58102" w14:textId="77777777" w:rsidR="003B066C" w:rsidRPr="00795511" w:rsidRDefault="003B066C" w:rsidP="003B066C">
                      <w:pPr>
                        <w:rPr>
                          <w:b/>
                          <w:bCs/>
                        </w:rPr>
                      </w:pPr>
                      <w:r w:rsidRPr="00795511">
                        <w:rPr>
                          <w:b/>
                          <w:bCs/>
                        </w:rPr>
                        <w:t>Workaround</w:t>
                      </w:r>
                    </w:p>
                    <w:p w14:paraId="53C2C958" w14:textId="77777777" w:rsidR="003B066C" w:rsidRPr="00C352EA" w:rsidRDefault="003B066C" w:rsidP="003B066C">
                      <w:r w:rsidRPr="00EF534E">
                        <w:t>Zolang de ontwerpversie van het tijdelijk regelingdeel niet in de STOP/TPOD-standaard is gemodelleerd en beschreven en niet in de DSO-keten is geïmplementeerd,</w:t>
                      </w:r>
                      <w:r>
                        <w:t xml:space="preserve"> worden </w:t>
                      </w:r>
                      <w:r w:rsidRPr="00A457C0">
                        <w:t xml:space="preserve">de wijzigingen die het projectbesluit in die omgevingsplannen aanbrengt, in het vrijetekstgedeelte </w:t>
                      </w:r>
                      <w:r>
                        <w:t xml:space="preserve">van het projectbesluit </w:t>
                      </w:r>
                      <w:r w:rsidRPr="00A457C0">
                        <w:t>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