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229" w:name="_Ref_18977386aa3685d56f76dfd7ac01c176_1"/>
      <w:r w:rsidRPr="00F1426F">
        <w:t>Toelichting op de norm</w:t>
      </w:r>
      <w:bookmarkEnd w:id="229"/>
    </w:p>
    <w:p w14:paraId="485B7980" w14:textId="77777777" w:rsidR="00261373" w:rsidRPr="00F1426F" w:rsidRDefault="00261373" w:rsidP="00194312">
      <w:pPr>
        <w:rPr>
          <w:i/>
          <w:iCs/>
        </w:rPr>
      </w:pPr>
    </w:p>
    <w:p w14:paraId="7AF41011" w14:textId="4C53DD3E" w:rsidR="00261373" w:rsidRPr="00F1426F" w:rsidRDefault="00624D76" w:rsidP="00194312">
      <w:pPr>
        <w:rPr>
          <w:i/>
          <w:iCs/>
        </w:rPr>
      </w:pPr>
      <w:r w:rsidRPr="00F1426F">
        <w:rPr>
          <w:i/>
          <w:iCs/>
        </w:rPr>
        <w:t>Attributen</w:t>
      </w:r>
    </w:p>
    <w:p w14:paraId="564C8536" w14:textId="146D5D87" w:rsidR="00261373" w:rsidRPr="00F1426F" w:rsidRDefault="00624D76" w:rsidP="00194312">
      <w:r w:rsidRPr="00F1426F">
        <w:t xml:space="preserve">Het attribuut </w:t>
      </w:r>
      <w:r w:rsidRPr="00F1426F">
        <w:rPr>
          <w:i/>
        </w:rPr>
        <w:t>identificatie</w:t>
      </w:r>
      <w:r w:rsidRPr="00F1426F">
        <w:t xml:space="preserve"> behoeft geen toelichting.</w:t>
      </w:r>
    </w:p>
    <w:p w14:paraId="3552B26F" w14:textId="3A5705A7" w:rsidR="00261373" w:rsidRPr="00F1426F" w:rsidRDefault="00261373" w:rsidP="00E33EDD"/>
    <w:p w14:paraId="0F99FEA6" w14:textId="7F747ABA" w:rsidR="00261373" w:rsidRPr="00F1426F" w:rsidRDefault="00624D76" w:rsidP="00E33EDD">
      <w:r w:rsidRPr="00F1426F">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F1426F">
        <w:rPr>
          <w:i/>
          <w:iCs/>
        </w:rPr>
        <w:t>relatie</w:t>
      </w:r>
      <w:r w:rsidRPr="00F1426F">
        <w:t xml:space="preserve"> wordt afgeleid in DSO-LV waarbij de som van de locaties van de onderliggende Juridische regels wordt gebruikt. Het is dus niet zo dat het bevoegd gezag ook nog een afzonderlijke geometrie voor het werkingsgebied moet aanleveren.</w:t>
      </w:r>
    </w:p>
    <w:p w14:paraId="1534FE61" w14:textId="2D0F7E72" w:rsidR="00261373" w:rsidRPr="00F1426F" w:rsidRDefault="00261373" w:rsidP="00E33EDD"/>
    <w:p w14:paraId="46729F86" w14:textId="4E7A5FEF" w:rsidR="00261373" w:rsidRPr="00F1426F" w:rsidRDefault="00624D76" w:rsidP="00E33EDD">
      <w:r w:rsidRPr="00F1426F">
        <w:t>Regeltekst kent geen waardelijsten.</w:t>
      </w:r>
    </w:p>
    <w:p w14:paraId="532A7D63" w14:textId="7590FF3A" w:rsidR="00261373" w:rsidRPr="00F1426F" w:rsidRDefault="00261373" w:rsidP="00E33EDD"/>
    <w:p w14:paraId="569C588B" w14:textId="5A498033" w:rsidR="00261373" w:rsidRPr="00F1426F" w:rsidRDefault="00624D76" w:rsidP="00E33EDD">
      <w:pPr>
        <w:rPr>
          <w:i/>
          <w:iCs/>
        </w:rPr>
      </w:pPr>
      <w:r w:rsidRPr="00F1426F">
        <w:rPr>
          <w:i/>
          <w:iCs/>
        </w:rPr>
        <w:t>Constraints</w:t>
      </w:r>
    </w:p>
    <w:p w14:paraId="4055051F" w14:textId="31BBF50B" w:rsidR="00261373" w:rsidRPr="00F1426F" w:rsidRDefault="00624D76" w:rsidP="0011109C">
      <w:pPr>
        <w:pStyle w:val="Opsommingtekens1"/>
      </w:pPr>
      <w:r w:rsidRPr="00F1426F">
        <w:rPr>
          <w:i/>
          <w:iCs/>
        </w:rPr>
        <w:t>één type Juridische</w:t>
      </w:r>
      <w:r w:rsidRPr="00B26823">
        <w:rPr>
          <w:i/>
          <w:iCs/>
        </w:rPr>
        <w:t xml:space="preserve"> regel per Regelteks</w:t>
      </w:r>
      <w:r w:rsidRPr="007B60F8">
        <w:t>t</w:t>
      </w:r>
      <w:r w:rsidRPr="000E40D3">
        <w:t>:</w:t>
      </w:r>
      <w:r w:rsidRPr="00F1426F">
        <w:t xml:space="preserve"> 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toegelicht bij Juridische regel in paragraaf </w:t>
      </w:r>
      <w:r w:rsidRPr="00863F41">
        <w:rPr>
          <w:rStyle w:val="Verwijzing"/>
        </w:rPr>
        <w:fldChar w:fldCharType="begin"/>
      </w:r>
      <w:r w:rsidRPr="00863F41">
        <w:rPr>
          <w:rStyle w:val="Verwijzing"/>
        </w:rPr>
        <w:instrText xml:space="preserve"> REF _Ref_b62cb4bd87b7c693459a06ea359ad81e_1 \n \h  \* MERGEFORMAT </w:instrText>
      </w:r>
      <w:r w:rsidRPr="00863F41">
        <w:rPr>
          <w:rStyle w:val="Verwijzing"/>
        </w:rPr>
      </w:r>
      <w:r w:rsidRPr="00863F41">
        <w:rPr>
          <w:rStyle w:val="Verwijzing"/>
        </w:rPr>
        <w:fldChar w:fldCharType="separate"/>
      </w:r>
      <w:r w:rsidR="00890AE1">
        <w:rPr>
          <w:rStyle w:val="Verwijzing"/>
        </w:rPr>
        <w:t>8.3.5</w:t>
      </w:r>
      <w:r w:rsidRPr="00863F41">
        <w:rPr>
          <w:rStyle w:val="Verwijzing"/>
        </w:rPr>
        <w:fldChar w:fldCharType="end"/>
      </w:r>
      <w:r w:rsidRPr="00B26823">
        <w:t>.</w:t>
      </w:r>
      <w:r w:rsidRPr="007B60F8">
        <w:t xml:space="preserve"> </w:t>
      </w:r>
      <w:r w:rsidRPr="000E40D3">
        <w:t>Deze constraint</w:t>
      </w:r>
      <w:r w:rsidRPr="00F1426F">
        <w:t xml:space="preserve"> geldt op het niveau van Artikel</w:t>
      </w:r>
      <w:r w:rsidRPr="00F1426F">
        <w:rPr>
          <w:i/>
          <w:iCs/>
        </w:rPr>
        <w:t>:</w:t>
      </w:r>
      <w:r w:rsidRPr="00F1426F">
        <w:t xml:space="preserve"> alle Juridische regels in een Artikel en alle Juridische regels in alle Leden van een Artikel moeten van hetzelfde type zijn.</w:t>
      </w:r>
    </w:p>
    <w:p w14:paraId="6276AE16" w14:textId="384C0C1C" w:rsidR="00261373" w:rsidRPr="00F1426F" w:rsidRDefault="00624D76" w:rsidP="00CA3041">
      <w:pPr>
        <w:pStyle w:val="Opsommingtekens1"/>
      </w:pPr>
      <w:r w:rsidRPr="00F1426F">
        <w:rPr>
          <w:i/>
          <w:iCs/>
        </w:rPr>
        <w:t>indien Artikel is onderverdeeld in Leden, annotaties alleen op Leden</w:t>
      </w:r>
      <w:r w:rsidRPr="00F1426F">
        <w:t>: deze constraint houdt in dat als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