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22CC" w14:textId="77777777" w:rsidR="00261373" w:rsidRPr="00F03DD9" w:rsidRDefault="00624D76" w:rsidP="00C647A6">
      <w:pPr>
        <w:pStyle w:val="Kop3"/>
      </w:pPr>
      <w:r w:rsidRPr="00F03DD9">
        <w:t>Annoteren wanneer een deel van norm of beleid in een bijlage staat</w:t>
      </w:r>
    </w:p>
    <w:p w14:paraId="1EFAB864" w14:textId="77777777" w:rsidR="00261373" w:rsidRPr="00F03DD9" w:rsidRDefault="00624D76"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w:t>
      </w:r>
      <w:r>
        <w:t xml:space="preserve">Locatie en </w:t>
      </w:r>
      <w:r w:rsidRPr="00F03DD9">
        <w:t xml:space="preserve">de domeinspecifieke annotaties (Activiteit, Omgevingsnorm, Omgevingswaarde en Gebiedsaanwijzing) immers alleen gekoppeld worden aan het </w:t>
      </w:r>
      <w:r>
        <w:t>OW-object</w:t>
      </w:r>
      <w:r w:rsidRPr="00F03DD9">
        <w:t xml:space="preserve"> Juridische regel. Het object Juridische regel kan alleen </w:t>
      </w:r>
      <w:r>
        <w:t xml:space="preserve">worden toegepast op </w:t>
      </w:r>
      <w:r w:rsidRPr="00F03DD9">
        <w:t xml:space="preserve">een artikel of een lid en niet </w:t>
      </w:r>
      <w:r>
        <w:t>op (onderdelen van)</w:t>
      </w:r>
      <w:r w:rsidRPr="00F03DD9">
        <w:t xml:space="preserve">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w:t>
      </w:r>
      <w:r>
        <w:t xml:space="preserve">alleen </w:t>
      </w:r>
      <w:r w:rsidRPr="008E1E8E">
        <w:t xml:space="preserve">worden toegepast op </w:t>
      </w:r>
      <w:r w:rsidRPr="00F03DD9">
        <w:t xml:space="preserve">de (beleids)tekst van het omgevingsdocument en niet </w:t>
      </w:r>
      <w:r>
        <w:t>op (onderdelen van)</w:t>
      </w:r>
      <w:r w:rsidRPr="00F03DD9">
        <w:t xml:space="preserve"> </w:t>
      </w:r>
      <w:r>
        <w:t>een</w:t>
      </w:r>
      <w:r w:rsidRPr="00F03DD9">
        <w:t xml:space="preserve"> bijlage.</w:t>
      </w:r>
    </w:p>
    <w:p w14:paraId="1380845C" w14:textId="77777777" w:rsidR="00261373" w:rsidRDefault="00261373" w:rsidP="00C647A6"/>
    <w:p w14:paraId="44628175" w14:textId="77777777" w:rsidR="00261373" w:rsidRPr="00F03DD9" w:rsidRDefault="00624D76"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120D3CA6" w14:textId="77777777" w:rsidR="00261373" w:rsidRPr="00F03DD9" w:rsidRDefault="00624D7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t>Het</w:t>
      </w:r>
      <w:r w:rsidRPr="00F03DD9">
        <w:t xml:space="preserve"> 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w:t>
      </w:r>
      <w:r w:rsidRPr="00F03DD9">
        <w:lastRenderedPageBreak/>
        <w:t>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20DC694C" w14:textId="77777777" w:rsidR="00261373" w:rsidRDefault="00624D76" w:rsidP="00C647A6">
      <w:r w:rsidRPr="00F03DD9">
        <w:t xml:space="preserve">Hier kan nog worden opgemerkt dat het vanuit de standaard niet nodig is om te werken met waarden en locaties in een bijlage. De kenbaarheid is </w:t>
      </w:r>
      <w:r>
        <w:t xml:space="preserve">immers </w:t>
      </w:r>
      <w:r w:rsidRPr="00F03DD9">
        <w:t xml:space="preserve">afdoende juridisch geborgd wanneer die informatie in </w:t>
      </w:r>
      <w:r>
        <w:t>het GIO</w:t>
      </w:r>
      <w:r w:rsidRPr="00F03DD9">
        <w:t xml:space="preserve"> is opgenomen. Vanuit dat principe volstaat het om de norm in het artikel op te nemen en de geometrie en de waarden in </w:t>
      </w:r>
      <w:r>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