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FDEC" w14:textId="77777777" w:rsidR="00220061" w:rsidRPr="00E71C5C" w:rsidRDefault="00220061" w:rsidP="00220061">
      <w:pPr>
        <w:pStyle w:val="Kop5"/>
      </w:pPr>
      <w:bookmarkStart w:id="329" w:name="_Ref_0a504833f656f66dcc0cb5a87b7b3f00_1"/>
      <w:r>
        <w:t>B</w:t>
      </w:r>
      <w:r w:rsidRPr="00B226C4">
        <w:t xml:space="preserve">esluit mag alleen OW-objecten wijzigen die horen bij de Regeling die het besluit </w:t>
      </w:r>
      <w:r>
        <w:t>wijzigt</w:t>
      </w:r>
      <w:bookmarkEnd w:id="329"/>
    </w:p>
    <w:p w14:paraId="4303422E" w14:textId="77777777" w:rsidR="00220061" w:rsidRDefault="00220061" w:rsidP="00220061">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