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61373" w:rsidRPr="000A4B5B" w:rsidRDefault="00624D76" w:rsidP="002F0D2A">
      <w:pPr>
        <w:pStyle w:val="Kop4"/>
      </w:pPr>
      <w:r w:rsidRPr="000A4B5B">
        <w:t>Toelichting</w:t>
      </w:r>
    </w:p>
    <w:p w14:paraId="12D38A95" w14:textId="73DA879C" w:rsidR="00261373" w:rsidRPr="000A4B5B" w:rsidRDefault="00624D76" w:rsidP="002F0D2A">
      <w:r w:rsidRPr="000A4B5B">
        <w:t xml:space="preserve">In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zullen regels voorkomen waarvan duidelijk moet zijn hoe er bij de toepassing ervan gemeten en/of gerekend moet worden. Dit zal onder andere het geval zijn bij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890AE1">
        <w:rPr>
          <w:rStyle w:val="Verwijzing"/>
        </w:rPr>
        <w:t>8.7</w:t>
      </w:r>
      <w:r w:rsidRPr="00863F41">
        <w:rPr>
          <w:rStyle w:val="Verwijzing"/>
        </w:rPr>
        <w:fldChar w:fldCharType="end"/>
      </w:r>
      <w:r w:rsidRPr="00B26823">
        <w:t>). Hoe gemeten en/of gerekend moet worden, wordt vastgelegd in meet- en rekenbepalingen.</w:t>
      </w:r>
    </w:p>
    <w:p w14:paraId="58784254" w14:textId="77777777" w:rsidR="00261373" w:rsidRPr="000A4B5B" w:rsidRDefault="00261373" w:rsidP="002F0D2A"/>
    <w:p w14:paraId="1895864E" w14:textId="5ED0D0FE" w:rsidR="00261373" w:rsidRPr="000A4B5B" w:rsidRDefault="00624D76"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t xml:space="preserve">Ook maakt </w:t>
      </w:r>
      <w:r w:rsidRPr="000A4B5B">
        <w:t xml:space="preserve">deze </w:t>
      </w:r>
      <w:r>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is opgenomen</w:t>
      </w:r>
      <w:r w:rsidRPr="000E40D3">
        <w:t xml:space="preserve">. </w:t>
      </w:r>
      <w:r>
        <w:t>Bovendien</w:t>
      </w:r>
      <w:r w:rsidRPr="000E40D3">
        <w:t xml:space="preserve"> wordt op deze manier voo</w:t>
      </w:r>
      <w:r w:rsidRPr="000A4B5B">
        <w:t xml:space="preserve">rkomen dat er onduidelijkheid ontstaat over bij welk werkingsgebied een meet- of rekenbepaling hoort. </w:t>
      </w:r>
      <w:r>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61373" w:rsidRPr="000A4B5B" w:rsidRDefault="00624D76"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61373" w:rsidRPr="000A4B5B" w:rsidRDefault="00624D76" w:rsidP="002F0D2A">
      <w:r w:rsidRPr="000A4B5B">
        <w:lastRenderedPageBreak/>
        <w:t xml:space="preserve">Aanbevolen wordt om in ieder geval de meet- en rekenbepalingen die in meerdere artikelen van toepassing zijn, bij elkaar te zetten in </w:t>
      </w:r>
      <w:r>
        <w:t>een</w:t>
      </w:r>
      <w:r w:rsidRPr="000A4B5B">
        <w:t xml:space="preserve"> artikel Meet- en rekenbepalingen in Hoofdstuk 1, dan wel in </w:t>
      </w:r>
      <w:r>
        <w:t>een</w:t>
      </w:r>
      <w:r w:rsidRPr="000A4B5B">
        <w:t xml:space="preserve"> specifieke bijlage met meet- en rekenbepalingen.</w:t>
      </w:r>
    </w:p>
    <w:p w14:paraId="47614302" w14:textId="77777777" w:rsidR="00261373" w:rsidRPr="000A4B5B" w:rsidRDefault="00261373" w:rsidP="002F0D2A"/>
    <w:p w14:paraId="79548C9F" w14:textId="77777777" w:rsidR="00261373" w:rsidRDefault="00624D76"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56B59D5F" w:rsidR="00261373" w:rsidRPr="000A4B5B" w:rsidRDefault="00624D76"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890AE1">
        <w:rPr>
          <w:rStyle w:val="Verwijzing"/>
        </w:rPr>
        <w:t>10.5</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61373" w:rsidRPr="000A4B5B" w:rsidRDefault="00261373" w:rsidP="002F0D2A"/>
    <w:p w14:paraId="135754D3" w14:textId="45747457" w:rsidR="00261373" w:rsidRPr="000A4B5B" w:rsidRDefault="00624D76"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Om dat ook technisch te bewerkstelligen dienen dergelijke bijlagen </w:t>
      </w:r>
      <w:r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