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207FB2BA" w:rsidR="004503DB" w:rsidRPr="00F03DD9" w:rsidRDefault="00624D76">
      <w:pPr>
        <w:pStyle w:val="Kop3"/>
      </w:pPr>
      <w:r w:rsidRPr="00D9611B">
        <w:lastRenderedPageBreak/>
        <w:t xml:space="preserve">Onderdelen van de standaard die voor </w:t>
      </w:r>
      <w:r w:rsidR="00862789">
        <w:t xml:space="preserve">het tijdelijk regelingdeel bij </w:t>
      </w:r>
      <w:fldSimple w:instr=" DOCVARIABLE ID01+ ">
        <w:r w:rsidR="00890AE1">
          <w:t>het projectbesluit</w:t>
        </w:r>
      </w:fldSimple>
      <w:r w:rsidRPr="00D9611B">
        <w:t xml:space="preserve"> verplicht of noodzakelijk zijn</w:t>
      </w:r>
    </w:p>
    <w:p w14:paraId="4C1C000A" w14:textId="23D2720F" w:rsidR="00261373" w:rsidRDefault="00624D76" w:rsidP="00BC1739">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aldus artikel 3:40 Awb. De Bekendmakingswet stelt algemene regels over de bekendmaking. Voor omgevingsdocumenten</w:t>
      </w:r>
      <w:r>
        <w:rPr>
          <w:rStyle w:val="Voetnootmarkering"/>
        </w:rPr>
        <w:footnoteReference w:id="91"/>
      </w:r>
      <w:r w:rsidRPr="00B5216A">
        <w:t xml:space="preserve"> </w:t>
      </w:r>
      <w:r>
        <w:t>gelden specifieke regels</w:t>
      </w:r>
      <w:r>
        <w:rPr>
          <w:rStyle w:val="Voetnootmarkering"/>
        </w:rPr>
        <w:footnoteReference w:id="92"/>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p w14:paraId="1863B11B" w14:textId="7914EA99" w:rsidR="004F0029" w:rsidRDefault="00336284" w:rsidP="00336284">
      <w:r>
        <w:t xml:space="preserve">De tekst van het tijdelijk regelingdeel bij het projectbesluit moet worden gestructureerd overeenkomstig de in paragraaf </w:t>
      </w:r>
      <w:r>
        <w:fldChar w:fldCharType="begin"/>
      </w:r>
      <w:r>
        <w:instrText xml:space="preserve"> REF _Ref_ea9daf5cc0be273da5515af2115a6e51_2 \n \h </w:instrText>
      </w:r>
      <w:r>
        <w:fldChar w:fldCharType="separate"/>
      </w:r>
      <w:r w:rsidR="00890AE1">
        <w:t>5.2</w:t>
      </w:r>
      <w:r>
        <w:fldChar w:fldCharType="end"/>
      </w:r>
      <w:r>
        <w:t xml:space="preserve"> voorgeschreven specificaties van de Artikelstructuur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