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261373" w:rsidRDefault="00624D76" w:rsidP="005716D5">
      <w:pPr>
        <w:pStyle w:val="Kop4"/>
      </w:pPr>
      <w:r w:rsidRPr="00476BA9">
        <w:t>Annotaties voor de dienstverlening in DSO-LV</w:t>
      </w:r>
    </w:p>
    <w:p w14:paraId="576C2468" w14:textId="77777777" w:rsidR="00261373" w:rsidRDefault="00624D7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4DB128DD" w:rsidR="00261373" w:rsidRDefault="00624D76" w:rsidP="002F26D6">
      <w:r>
        <w:t xml:space="preserve">Om het omgevingsdocument met alles wat daar bij hoort in DSO-LV te kunnen tonen, is het verplicht om </w:t>
      </w:r>
      <w:r w:rsidR="000A0FD0">
        <w:t>v</w:t>
      </w:r>
      <w:r w:rsidR="000A0FD0" w:rsidRPr="000A0FD0">
        <w:t xml:space="preserve">oor ieder tijdelijk regelingdeel </w:t>
      </w:r>
      <w:r w:rsidR="00437613">
        <w:t xml:space="preserve">dat </w:t>
      </w:r>
      <w:fldSimple w:instr=" DOCVARIABLE ID01+ ">
        <w:r w:rsidR="00890AE1">
          <w:t>het projectbesluit</w:t>
        </w:r>
      </w:fldSimple>
      <w:r w:rsidR="00437613">
        <w:t xml:space="preserve"> instelt, </w:t>
      </w:r>
      <w:r>
        <w:t>het Regelingsgebied aan te leveren</w:t>
      </w:r>
      <w:r>
        <w:rPr>
          <w:rStyle w:val="Voetnootmarkering"/>
        </w:rPr>
        <w:footnoteReference w:id="93"/>
      </w:r>
      <w:r>
        <w:t>.</w:t>
      </w:r>
    </w:p>
    <w:p w14:paraId="2102E037" w14:textId="5B4847D2" w:rsidR="00261373" w:rsidRDefault="00624D76" w:rsidP="002F26D6">
      <w:r>
        <w:t xml:space="preserve">Het annoteren van een artikel of lid met de overige OW-objecten is alleen mogelijk als dat artikel of lid is geannoteerd met Regeltekst en Juridische regel. Om te voldoen aan de </w:t>
      </w:r>
      <w:r>
        <w:lastRenderedPageBreak/>
        <w:t>verplichting om aan te geven waar een artikel of lid geldt, moet het worden gekoppeld aan de juiste Locatie of Locaties.</w:t>
      </w:r>
    </w:p>
    <w:p w14:paraId="62E4B9B1" w14:textId="0660579B" w:rsidR="00261373" w:rsidRDefault="00624D7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4CCF9964" w:rsidR="00261373" w:rsidRDefault="00624D76" w:rsidP="002F26D6">
      <w:r>
        <w:t xml:space="preserve">Wanneer het bevoegd bezag bepaalde normen op verschillende plekken verschillende waarden wil geven kan dat op twee manieren. Als het bevoegd gezag de gebruiker makkelijk en duidelijk inzicht wil geven, dan kiest het voor de eerste manier: het annoteren met </w:t>
      </w:r>
      <w:r w:rsidR="00E3513A">
        <w:t xml:space="preserve">het </w:t>
      </w:r>
      <w:r>
        <w:t xml:space="preserve">OW-object Omgevingsnorm. Dat zorgt ervoor dat in het kaartbeeld herkenbaar is dat een Locatie hoort bij een regel over een omgevingsnorm en dat door middel van interactie met de kaart per locatie te zien is welke waarde daar geldt. De Locaties en de bij de omgevingsnorm behorende waarden worden in een GIO vastgelegd. In de tekst van de regel wordt met behulp van een tekstuele aanduiding verwezen naar het GIO (zie </w:t>
      </w:r>
      <w:r w:rsidRPr="00863F41">
        <w:rPr>
          <w:rStyle w:val="Verwijzing"/>
        </w:rPr>
        <w:fldChar w:fldCharType="begin"/>
      </w:r>
      <w:r w:rsidRPr="00863F41">
        <w:rPr>
          <w:rStyle w:val="Verwijzing"/>
        </w:rPr>
        <w:instrText xml:space="preserve"> REF _Ref_82ca62a31c8b8bcd46b0ee2514bfa012_2 \n \h </w:instrText>
      </w:r>
      <w:r w:rsidRPr="00863F41">
        <w:rPr>
          <w:rStyle w:val="Verwijzing"/>
        </w:rPr>
      </w:r>
      <w:r w:rsidRPr="00863F41">
        <w:rPr>
          <w:rStyle w:val="Verwijzing"/>
        </w:rPr>
        <w:fldChar w:fldCharType="separate"/>
      </w:r>
      <w:r w:rsidR="00890AE1">
        <w:rPr>
          <w:rStyle w:val="Verwijzing"/>
        </w:rPr>
        <w:t>Figuur 26</w:t>
      </w:r>
      <w:r w:rsidRPr="00863F41">
        <w:rPr>
          <w:rStyle w:val="Verwijzing"/>
        </w:rPr>
        <w:fldChar w:fldCharType="end"/>
      </w:r>
      <w:r>
        <w:t xml:space="preserve"> voor een illustratie). Door het vastleggen van de waarden in GIO’s en daarnaar door middel van een noemer in de tekst van de regel te verwijzen, krijgen de waarden juridische werking en zijn ze onderdeel van het besluit. De tweede manier is het opnemen van alle adressen of percelen én de bijbehorende waarden in de tekst van de regel, zoals getoond in </w:t>
      </w:r>
      <w:r w:rsidRPr="00863F41">
        <w:rPr>
          <w:rStyle w:val="Verwijzing"/>
        </w:rPr>
        <w:fldChar w:fldCharType="begin"/>
      </w:r>
      <w:r w:rsidRPr="00863F41">
        <w:rPr>
          <w:rStyle w:val="Verwijzing"/>
        </w:rPr>
        <w:instrText xml:space="preserve"> REF _Ref_dcba56abf9d5757ed8d11ad0bb3ecbff_3 \n \h </w:instrText>
      </w:r>
      <w:r w:rsidRPr="00863F41">
        <w:rPr>
          <w:rStyle w:val="Verwijzing"/>
        </w:rPr>
      </w:r>
      <w:r w:rsidRPr="00863F41">
        <w:rPr>
          <w:rStyle w:val="Verwijzing"/>
        </w:rPr>
        <w:fldChar w:fldCharType="separate"/>
      </w:r>
      <w:r w:rsidR="00890AE1">
        <w:rPr>
          <w:rStyle w:val="Verwijzing"/>
        </w:rPr>
        <w:t>Figuur 62</w:t>
      </w:r>
      <w:r w:rsidRPr="00863F41">
        <w:rPr>
          <w:rStyle w:val="Verwijzing"/>
        </w:rPr>
        <w:fldChar w:fldCharType="end"/>
      </w:r>
      <w:r>
        <w:t xml:space="preserve"> en </w:t>
      </w:r>
      <w:r w:rsidRPr="00863F41">
        <w:rPr>
          <w:rStyle w:val="Verwijzing"/>
        </w:rPr>
        <w:fldChar w:fldCharType="begin"/>
      </w:r>
      <w:r w:rsidRPr="00863F41">
        <w:rPr>
          <w:rStyle w:val="Verwijzing"/>
        </w:rPr>
        <w:instrText xml:space="preserve"> REF _Ref_dcba56abf9d5757ed8d11ad0bb3ecbff_4 \n \h </w:instrText>
      </w:r>
      <w:r w:rsidRPr="00863F41">
        <w:rPr>
          <w:rStyle w:val="Verwijzing"/>
        </w:rPr>
      </w:r>
      <w:r w:rsidRPr="00863F41">
        <w:rPr>
          <w:rStyle w:val="Verwijzing"/>
        </w:rPr>
        <w:fldChar w:fldCharType="separate"/>
      </w:r>
      <w:r w:rsidR="00890AE1">
        <w:rPr>
          <w:rStyle w:val="Verwijzing"/>
        </w:rPr>
        <w:t>Figuur 63</w:t>
      </w:r>
      <w:r w:rsidRPr="00863F41">
        <w:rPr>
          <w:rStyle w:val="Verwijzing"/>
        </w:rPr>
        <w:fldChar w:fldCharType="end"/>
      </w:r>
      <w:r>
        <w:t xml:space="preserve"> in paragraaf </w:t>
      </w:r>
      <w:r w:rsidRPr="00863F41">
        <w:rPr>
          <w:rStyle w:val="Verwijzing"/>
        </w:rPr>
        <w:fldChar w:fldCharType="begin"/>
      </w:r>
      <w:r w:rsidRPr="00863F41">
        <w:rPr>
          <w:rStyle w:val="Verwijzing"/>
        </w:rPr>
        <w:instrText xml:space="preserve"> REF _Ref_dcba56abf9d5757ed8d11ad0bb3ecbff_1 \n \h </w:instrText>
      </w:r>
      <w:r w:rsidRPr="00863F41">
        <w:rPr>
          <w:rStyle w:val="Verwijzing"/>
        </w:rPr>
      </w:r>
      <w:r w:rsidRPr="00863F41">
        <w:rPr>
          <w:rStyle w:val="Verwijzing"/>
        </w:rPr>
        <w:fldChar w:fldCharType="separate"/>
      </w:r>
      <w:r w:rsidR="00890AE1">
        <w:rPr>
          <w:rStyle w:val="Verwijzing"/>
        </w:rPr>
        <w:t>8.7.1</w:t>
      </w:r>
      <w:r w:rsidRPr="00863F41">
        <w:rPr>
          <w:rStyle w:val="Verwijzing"/>
        </w:rPr>
        <w:fldChar w:fldCharType="end"/>
      </w:r>
      <w:r>
        <w:t>. Doordat de waarden en de adressen of percelen waar die waarden gelden in de (mensleesbare) tekst staan, vormen ze rechtstreeks onderdeel van het besluit. Ze hebben daarmee juridische werking.</w:t>
      </w:r>
    </w:p>
    <w:p w14:paraId="59E9F653" w14:textId="77777777" w:rsidR="00261373" w:rsidRDefault="00624D7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261373" w:rsidRPr="00476BA9" w:rsidRDefault="00624D7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