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261373" w:rsidRDefault="00624D76" w:rsidP="00DA44AF">
      <w:pPr>
        <w:pStyle w:val="Kop4"/>
      </w:pPr>
      <w:bookmarkStart w:id="381" w:name="_Ref_685a169d0dd8249fb4d2a1b6d143137f_1"/>
      <w:bookmarkStart w:id="382" w:name="_Ref_685a169d0dd8249fb4d2a1b6d143137f_2"/>
      <w:r>
        <w:t>Soort procedure en consolidatie</w:t>
      </w:r>
      <w:bookmarkEnd w:id="381"/>
    </w:p>
    <w:p w14:paraId="318AA4B7" w14:textId="77777777" w:rsidR="00261373" w:rsidRPr="00DD0E95" w:rsidRDefault="00624D76"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261373" w:rsidRDefault="00624D76"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261373" w:rsidRPr="00F03DD9" w:rsidRDefault="00624D76"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261373" w:rsidRDefault="00624D76"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261373" w:rsidRPr="00D80A79" w:rsidRDefault="00624D76" w:rsidP="00E43714">
                            <w:pPr>
                              <w:rPr>
                                <w:b/>
                                <w:bCs/>
                              </w:rPr>
                            </w:pPr>
                            <w:r w:rsidRPr="00D80A79">
                              <w:rPr>
                                <w:b/>
                                <w:bCs/>
                              </w:rPr>
                              <w:t>Toekomstige functionaliteit</w:t>
                            </w:r>
                          </w:p>
                          <w:p w14:paraId="69157AAB" w14:textId="77777777" w:rsidR="00261373" w:rsidRPr="00B3240A" w:rsidRDefault="00624D76" w:rsidP="00E43714">
                            <w:r w:rsidRPr="00B3240A">
                              <w:t>Het tonen van een toestand van een regeling vóór de inwerkingtredingsdatum is nog niet geïmplementeerd in de DSO-keten.</w:t>
                            </w:r>
                          </w:p>
                          <w:p w14:paraId="780FD506" w14:textId="77777777" w:rsidR="00261373" w:rsidRPr="00B3240A" w:rsidRDefault="00624D76"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261373" w:rsidRDefault="00261373" w:rsidP="00E43714"/>
                          <w:p w14:paraId="5DA25BDE" w14:textId="77777777" w:rsidR="00261373" w:rsidRPr="00541BF1" w:rsidRDefault="00624D76" w:rsidP="00E43714">
                            <w:pPr>
                              <w:rPr>
                                <w:b/>
                                <w:bCs/>
                              </w:rPr>
                            </w:pPr>
                            <w:r w:rsidRPr="00541BF1">
                              <w:rPr>
                                <w:b/>
                                <w:bCs/>
                              </w:rPr>
                              <w:t>Workaround</w:t>
                            </w:r>
                          </w:p>
                          <w:p w14:paraId="38AB2FD0" w14:textId="77777777" w:rsidR="00261373" w:rsidRPr="0022671B" w:rsidRDefault="00624D76"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17" o:spid="_x0000_s105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2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nQ8RaqIwLhoJ8Rb/m6wfyPzIcX5nAosEEc9PCMh1SARcFJoqQG9+tv99EfuUIrJS0OWUkNbgEl&#10;6rtBDu/G02mcyaRMb75MUHHXlu21xez1CrDPMS6U5UmM/kENonSg33AblvFNNDHD8eWShkFchX7w&#10;cZu4WC6TE06hZeHRbCyPqQdUX7s35uyJrYBEP8EwjKx4R1rvGyO9Xe4DUpcYjTD3mJ7QxwlO5Jy2&#10;La7ItZ68Lv+ExW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kKRo2LAIAAFsEAAAOAAAAAAAAAAAAAAAAAC4CAABkcnMvZTJvRG9j&#10;LnhtbFBLAQItABQABgAIAAAAIQC3DAMI1wAAAAUBAAAPAAAAAAAAAAAAAAAAAIYEAABkcnMvZG93&#10;bnJldi54bWxQSwUGAAAAAAQABADzAAAAigUAAAAA&#10;" filled="f" strokeweight=".5pt">
                <v:textbox style="mso-fit-shape-to-text:t">
                  <w:txbxContent>
                    <w:p w14:paraId="4F1B6599" w14:textId="77777777" w:rsidR="00261373" w:rsidRPr="00D80A79" w:rsidRDefault="00624D76" w:rsidP="00E43714">
                      <w:pPr>
                        <w:rPr>
                          <w:b/>
                          <w:bCs/>
                        </w:rPr>
                      </w:pPr>
                      <w:r w:rsidRPr="00D80A79">
                        <w:rPr>
                          <w:b/>
                          <w:bCs/>
                        </w:rPr>
                        <w:t>Toekomstige functionaliteit</w:t>
                      </w:r>
                    </w:p>
                    <w:p w14:paraId="69157AAB" w14:textId="77777777" w:rsidR="00261373" w:rsidRPr="00B3240A" w:rsidRDefault="00624D76" w:rsidP="00E43714">
                      <w:r w:rsidRPr="00B3240A">
                        <w:t>Het tonen van een toestand van een regeling vóór de inwerkingtredingsdatum is nog niet geïmplementeerd in de DSO-keten.</w:t>
                      </w:r>
                    </w:p>
                    <w:p w14:paraId="780FD506" w14:textId="77777777" w:rsidR="00261373" w:rsidRPr="00B3240A" w:rsidRDefault="00624D76"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261373" w:rsidRDefault="00261373" w:rsidP="00E43714"/>
                    <w:p w14:paraId="5DA25BDE" w14:textId="77777777" w:rsidR="00261373" w:rsidRPr="00541BF1" w:rsidRDefault="00624D76" w:rsidP="00E43714">
                      <w:pPr>
                        <w:rPr>
                          <w:b/>
                          <w:bCs/>
                        </w:rPr>
                      </w:pPr>
                      <w:r w:rsidRPr="00541BF1">
                        <w:rPr>
                          <w:b/>
                          <w:bCs/>
                        </w:rPr>
                        <w:t>Workaround</w:t>
                      </w:r>
                    </w:p>
                    <w:p w14:paraId="38AB2FD0" w14:textId="77777777" w:rsidR="00261373" w:rsidRPr="0022671B" w:rsidRDefault="00624D76"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