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6500" w14:textId="77777777" w:rsidR="00261373" w:rsidRDefault="00624D76" w:rsidP="00CA7B14">
      <w:pPr>
        <w:pStyle w:val="Kop5"/>
      </w:pPr>
      <w:bookmarkStart w:id="384" w:name="_Ref_993d3a115abe42da9f7620ad246375cf_1"/>
      <w:r>
        <w:t>De module Procedureverloop</w:t>
      </w:r>
      <w:bookmarkEnd w:id="384"/>
    </w:p>
    <w:p w14:paraId="4B9E969A" w14:textId="3D7A1DC5" w:rsidR="00261373" w:rsidRDefault="00624D76" w:rsidP="0050446C">
      <w:r>
        <w:t xml:space="preserve">De </w:t>
      </w:r>
      <w:r w:rsidRPr="0031135F">
        <w:t>STOP</w:t>
      </w:r>
      <w:r w:rsidRPr="00304FEE">
        <w:t>/TPOD-standaard</w:t>
      </w:r>
      <w:r w:rsidRPr="0031135F">
        <w:t xml:space="preserve"> ziet het ontwerpbesluit en het definitieve besluit als afzonderlijke procedures.</w:t>
      </w:r>
      <w:r>
        <w:t xml:space="preserve"> Zoals in paragraaf </w:t>
      </w:r>
      <w:r>
        <w:fldChar w:fldCharType="begin"/>
      </w:r>
      <w:r>
        <w:instrText xml:space="preserve"> REF _Ref_685a169d0dd8249fb4d2a1b6d143137f_1 \n \h </w:instrText>
      </w:r>
      <w:r>
        <w:fldChar w:fldCharType="separate"/>
      </w:r>
      <w:r w:rsidR="00890AE1">
        <w:t>11.3.5</w:t>
      </w:r>
      <w:r>
        <w:fldChar w:fldCharType="end"/>
      </w:r>
      <w:r>
        <w:t xml:space="preserve"> al is aangegeven moet bij de aanlevering van een besluitversie </w:t>
      </w:r>
      <w:r w:rsidRPr="00F03DD9">
        <w:t>de soort procedure worden gekozen</w:t>
      </w:r>
      <w:r>
        <w:t>:</w:t>
      </w:r>
      <w:r w:rsidRPr="00F03DD9">
        <w:t xml:space="preserve"> </w:t>
      </w:r>
      <w:r>
        <w:t>a</w:t>
      </w:r>
      <w:r w:rsidRPr="00F03DD9">
        <w:t xml:space="preserve">angegeven moet worden of een ontwerpbesluit of een definitief besluit wordt aangeleverd. De procedure-informatie wordt verder ingevuld met </w:t>
      </w:r>
      <w:r>
        <w:t>de module</w:t>
      </w:r>
      <w:r w:rsidRPr="00F03DD9">
        <w:t xml:space="preserve"> Procedure</w:t>
      </w:r>
      <w:r>
        <w:t>verloop</w:t>
      </w:r>
      <w:r w:rsidRPr="00F03DD9">
        <w:t xml:space="preserve">. Dit is de verzameling van stappen in de </w:t>
      </w:r>
      <w:r w:rsidRPr="00F03DD9">
        <w:lastRenderedPageBreak/>
        <w:t xml:space="preserve">procedure van </w:t>
      </w:r>
      <w:r>
        <w:t>de b</w:t>
      </w:r>
      <w:r w:rsidRPr="00F03DD9">
        <w:t>esluit</w:t>
      </w:r>
      <w:r>
        <w:t>v</w:t>
      </w:r>
      <w:r w:rsidRPr="00F03DD9">
        <w:t xml:space="preserve">ersie. </w:t>
      </w:r>
      <w:r>
        <w:t xml:space="preserve">De module </w:t>
      </w:r>
      <w:r w:rsidRPr="00F03DD9">
        <w:t>Procedure</w:t>
      </w:r>
      <w:r>
        <w:t>verloop</w:t>
      </w:r>
      <w:r w:rsidRPr="00F03DD9">
        <w:t xml:space="preserve"> kan dus meerdere stappen bevatten, en ook in de loop van de tijd aan de hand van het verloop van de procedure worden aangevuld. </w:t>
      </w:r>
      <w:r>
        <w:t>Deze module en d</w:t>
      </w:r>
      <w:r w:rsidRPr="00F03DD9">
        <w:t xml:space="preserve">e </w:t>
      </w:r>
      <w:r>
        <w:t>P</w:t>
      </w:r>
      <w:r w:rsidRPr="00F03DD9">
        <w:t xml:space="preserve">rocedurestappen die als metadata kunnen worden aangeleverd betreffen alleen het formele </w:t>
      </w:r>
      <w:r w:rsidRPr="00472569">
        <w:t xml:space="preserve">en door DSO-LV ondersteunde </w:t>
      </w:r>
      <w:r w:rsidRPr="00F03DD9">
        <w:t xml:space="preserve">deel van de procedure, dus vanaf de </w:t>
      </w:r>
      <w:r w:rsidRPr="003138B6">
        <w:t>publicatie</w:t>
      </w:r>
      <w:r w:rsidRPr="003138B6" w:rsidDel="003138B6">
        <w:t xml:space="preserve"> </w:t>
      </w:r>
      <w:r w:rsidRPr="00F03DD9">
        <w:t xml:space="preserve">van een ontwerpbesluit. </w:t>
      </w:r>
      <w:r>
        <w:t>Gegevens over de d</w:t>
      </w:r>
      <w:r w:rsidRPr="00F03DD9">
        <w:t xml:space="preserve">aaraan voorafgaande stappen, zoals participatie, conceptversies voor overleg en voorbereiding van de besluitvorming door het bestuursorgaan, worden niet door </w:t>
      </w:r>
      <w:r>
        <w:t xml:space="preserve">de STOP/TPOD-standaard ondersteund en niet door </w:t>
      </w:r>
      <w:r w:rsidRPr="00F03DD9">
        <w:t>de LVBB verwerkt</w:t>
      </w:r>
      <w:r>
        <w:t>.</w:t>
      </w:r>
      <w:r w:rsidRPr="00F03DD9">
        <w:t xml:space="preserve"> </w:t>
      </w:r>
      <w:r>
        <w:t xml:space="preserve">Ze </w:t>
      </w:r>
      <w:r w:rsidRPr="00F03DD9">
        <w:t>kunnen uiteraard wel door het bevoegd gezag in de eigen software worden bijgehouden.</w:t>
      </w:r>
    </w:p>
    <w:p w14:paraId="1E04777A" w14:textId="77777777" w:rsidR="00261373" w:rsidRDefault="00624D76" w:rsidP="0050446C">
      <w:r>
        <w:t xml:space="preserve">Het </w:t>
      </w:r>
      <w:r w:rsidRPr="00D839C4">
        <w:t xml:space="preserve">ontwerpbesluit </w:t>
      </w:r>
      <w:r>
        <w:t xml:space="preserve">en het </w:t>
      </w:r>
      <w:r w:rsidRPr="007E0F04">
        <w:t>definitieve besluit</w:t>
      </w:r>
      <w:r>
        <w:t xml:space="preserve"> hebben ieder een afzonderlijke </w:t>
      </w:r>
      <w:r w:rsidRPr="003742F6">
        <w:t>module Procedureverloop</w:t>
      </w:r>
      <w:r>
        <w:t>. In de ontwerpfase</w:t>
      </w:r>
      <w:r w:rsidRPr="00DD0E95">
        <w:t xml:space="preserve"> levert het bevoegd gezag het ontwerpbesluit aan bij de LVBB met als soortProcedure ‘ontwerpbesluit’ en het Procedureverloop met de relevante </w:t>
      </w:r>
      <w:r>
        <w:t>Procedure</w:t>
      </w:r>
      <w:r w:rsidRPr="00DD0E95">
        <w:t xml:space="preserve">stappen horend bij een ontwerpbesluit. </w:t>
      </w:r>
      <w:r w:rsidRPr="00F03DD9">
        <w:t>Nadat het bestuursorgaan een besluit over een omgevingsdocument heeft genomen, levert het dat besluit aan bij de LVBB met als soortProcedure ‘definitief besluit’</w:t>
      </w:r>
      <w:r>
        <w:t xml:space="preserve"> </w:t>
      </w:r>
      <w:r w:rsidRPr="006C5DDB">
        <w:t xml:space="preserve">en het Procedureverloop met de relevante stappen horend bij een </w:t>
      </w:r>
      <w:r>
        <w:t xml:space="preserve">definitief </w:t>
      </w:r>
      <w:r w:rsidRPr="006C5DDB">
        <w:t>besluit</w:t>
      </w:r>
      <w:r w:rsidRPr="00F03DD9">
        <w:t xml:space="preserve">. </w:t>
      </w:r>
      <w:r w:rsidRPr="00325A43">
        <w:t xml:space="preserve">Diverse omgevingsdocumenten treden direct na de bekendmaking van het besluit in werking en zijn dan ook direct onherroepelijk. </w:t>
      </w:r>
      <w:r>
        <w:t>B</w:t>
      </w:r>
      <w:r w:rsidRPr="00325A43">
        <w:t>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GIO’s en OW-objecten. Daarom moeten bij besluiten waartegen beroep kan worden ingesteld, na de aanlevering van het definitieve besluit, nieuwe Procedurestappen aan het Procedureverloop worden toegevoegd. Dit maakt het mogelijk om in de geconsolideerde regelingen op overheid.nl en in DSO-LV de status aan te geven van de onderdelen van die regeling die door het betreffende besluit zijn gewijzigd.</w:t>
      </w:r>
    </w:p>
    <w:p w14:paraId="2C683B85" w14:textId="54B65A80" w:rsidR="00261373" w:rsidRDefault="00624D76" w:rsidP="0050446C">
      <w:r>
        <w:t xml:space="preserve">De initiële aanlevering van het Procedureverloop vindt doorgaans plaats bij het ontwerpbesluit respectievelijk definitieve besluit. Vervolgens wordt het Procedureverloop gemuteerd met een Procedureverloopmutatie bij de kennisgeving of met een directe mutatie. In paragraaf </w:t>
      </w:r>
      <w:r w:rsidR="00FE2DFF">
        <w:fldChar w:fldCharType="begin"/>
      </w:r>
      <w:r w:rsidR="00FE2DFF">
        <w:instrText xml:space="preserve"> REF _Ref_89a9a5687a71e7e9308157b00219375b_6 \n \h </w:instrText>
      </w:r>
      <w:r w:rsidR="00FE2DFF">
        <w:fldChar w:fldCharType="separate"/>
      </w:r>
      <w:r w:rsidR="00890AE1">
        <w:t>11.4</w:t>
      </w:r>
      <w:r w:rsidR="00FE2DFF">
        <w:fldChar w:fldCharType="end"/>
      </w:r>
      <w:r>
        <w:t xml:space="preserve"> is steeds in iedere fase en bij ieder product aangegeven welke methode moet worden toegepast.</w:t>
      </w:r>
    </w:p>
    <w:p w14:paraId="35C019A2" w14:textId="77777777" w:rsidR="00261373" w:rsidRDefault="00261373" w:rsidP="0050446C"/>
    <w:p w14:paraId="25A43E29" w14:textId="77777777" w:rsidR="00261373" w:rsidRDefault="00624D76" w:rsidP="0050446C">
      <w:r>
        <w:t>Een Procedurestap kent de volgende gegevens:</w:t>
      </w:r>
    </w:p>
    <w:p w14:paraId="28F16A5C" w14:textId="77777777" w:rsidR="00261373" w:rsidRDefault="00624D76" w:rsidP="0050446C">
      <w:pPr>
        <w:pStyle w:val="Opsommingtekens1"/>
      </w:pPr>
      <w:r w:rsidRPr="00094953">
        <w:rPr>
          <w:i/>
          <w:iCs/>
        </w:rPr>
        <w:t>soortStap</w:t>
      </w:r>
      <w:r>
        <w:t>: geeft aan welke stap het betreft, te kiezen uit de STOP-waardelijst Procedurestap_ontwerp respectievelijk Procedurestap_definitief. Verplicht gegeven. Komt 1 keer voor.</w:t>
      </w:r>
    </w:p>
    <w:p w14:paraId="508A1F7E" w14:textId="77777777" w:rsidR="00261373" w:rsidRDefault="00624D76" w:rsidP="0050446C">
      <w:pPr>
        <w:pStyle w:val="Opsommingtekens1"/>
      </w:pPr>
      <w:r w:rsidRPr="00F213DB">
        <w:rPr>
          <w:i/>
          <w:iCs/>
        </w:rPr>
        <w:t>voltooidOp</w:t>
      </w:r>
      <w:r>
        <w:t xml:space="preserve">: </w:t>
      </w:r>
      <w:r w:rsidRPr="00CD262A">
        <w:t>datum waarop deze procedurestap heeft plaats gevonden of (naar verwachting) plaats zal vinden</w:t>
      </w:r>
      <w:r>
        <w:t xml:space="preserve">. </w:t>
      </w:r>
      <w:r w:rsidRPr="00936EE8">
        <w:t>Verplicht gegeven</w:t>
      </w:r>
      <w:r>
        <w:t>.</w:t>
      </w:r>
      <w:r w:rsidRPr="00936EE8">
        <w:t xml:space="preserve"> </w:t>
      </w:r>
      <w:r>
        <w:t>K</w:t>
      </w:r>
      <w:r w:rsidRPr="00936EE8">
        <w:t>omt 1 keer voor.</w:t>
      </w:r>
    </w:p>
    <w:p w14:paraId="5DE6F6F8" w14:textId="77777777" w:rsidR="00261373" w:rsidRDefault="00624D76" w:rsidP="0050446C">
      <w:pPr>
        <w:pStyle w:val="Opsommingtekens1"/>
      </w:pPr>
      <w:r>
        <w:rPr>
          <w:i/>
          <w:iCs/>
        </w:rPr>
        <w:t>meerInformatie</w:t>
      </w:r>
      <w:r w:rsidRPr="007D0D11">
        <w:t>:</w:t>
      </w:r>
      <w:r>
        <w:t xml:space="preserve"> </w:t>
      </w:r>
      <w:r w:rsidRPr="00902C8E">
        <w:t xml:space="preserve">URL-verwijzing </w:t>
      </w:r>
      <w:r w:rsidRPr="002D0B4C">
        <w:t xml:space="preserve">naar extra informatie over de </w:t>
      </w:r>
      <w:r>
        <w:t>Procedurestap</w:t>
      </w:r>
      <w:r w:rsidRPr="00B1686C">
        <w:t>.</w:t>
      </w:r>
      <w:r>
        <w:t xml:space="preserve"> </w:t>
      </w:r>
      <w:r w:rsidRPr="002A4063">
        <w:t xml:space="preserve">Optioneel </w:t>
      </w:r>
      <w:r>
        <w:t>gegeven</w:t>
      </w:r>
      <w:r w:rsidRPr="002A4063">
        <w:t>. Komt 0 of 1 keer voor.</w:t>
      </w:r>
      <w:r>
        <w:t xml:space="preserve"> </w:t>
      </w:r>
      <w:r w:rsidRPr="00DA5F01">
        <w:t>D</w:t>
      </w:r>
      <w:r>
        <w:t>i</w:t>
      </w:r>
      <w:r w:rsidRPr="00DA5F01">
        <w:t xml:space="preserve">t gegeven </w:t>
      </w:r>
      <w:r>
        <w:t xml:space="preserve">is </w:t>
      </w:r>
      <w:r w:rsidRPr="00DA5F01">
        <w:t xml:space="preserve">bedoeld voor het geven van extra informatie over de betreffende </w:t>
      </w:r>
      <w:r>
        <w:t>Procedurestap</w:t>
      </w:r>
      <w:r w:rsidRPr="00DA5F01">
        <w:t xml:space="preserve"> en de gevolgen daarvan op de geldigheid van regeling, niet voor extra informatie over de inhoud van de regeling.</w:t>
      </w:r>
      <w:r>
        <w:t xml:space="preserve"> Dit gegeven wordt alleen in de beroepsfase van het besluit gebruikt, en dus alleen bij besluiten waartegen bezwaar en/of beroep kan worden ingesteld.</w:t>
      </w:r>
    </w:p>
    <w:p w14:paraId="009D6BE7" w14:textId="77777777" w:rsidR="00261373" w:rsidRDefault="00261373" w:rsidP="0050446C"/>
    <w:p w14:paraId="32412E4C" w14:textId="77777777" w:rsidR="00261373" w:rsidRDefault="00624D76" w:rsidP="0050446C">
      <w:r>
        <w:lastRenderedPageBreak/>
        <w:t xml:space="preserve">Naast de </w:t>
      </w:r>
      <w:r w:rsidRPr="00B3240A">
        <w:t>Procedurestap</w:t>
      </w:r>
      <w:r>
        <w:t>(pen)</w:t>
      </w:r>
      <w:r w:rsidRPr="00B3240A">
        <w:t xml:space="preserve"> </w:t>
      </w:r>
      <w:r>
        <w:t>bevat het</w:t>
      </w:r>
      <w:r w:rsidRPr="00CC5184">
        <w:t xml:space="preserve"> Procedureverloop </w:t>
      </w:r>
      <w:r>
        <w:t xml:space="preserve">het gegeven </w:t>
      </w:r>
      <w:r w:rsidRPr="004E5084">
        <w:rPr>
          <w:i/>
          <w:iCs/>
        </w:rPr>
        <w:t>bekendOp</w:t>
      </w:r>
      <w:r w:rsidRPr="00CC5184">
        <w:t xml:space="preserve">. Daar </w:t>
      </w:r>
      <w:r>
        <w:t xml:space="preserve">vult het bevoegd gezag de </w:t>
      </w:r>
      <w:r w:rsidRPr="00CC5184">
        <w:t>datum</w:t>
      </w:r>
      <w:r>
        <w:t xml:space="preserve"> in </w:t>
      </w:r>
      <w:r w:rsidRPr="00890FAD">
        <w:t>waarop eenieder kennis kon hebben van de</w:t>
      </w:r>
      <w:r>
        <w:t>ze</w:t>
      </w:r>
      <w:r w:rsidRPr="00890FAD">
        <w:t xml:space="preserve"> informatie</w:t>
      </w:r>
      <w:r>
        <w:t>.</w:t>
      </w:r>
    </w:p>
    <w:p w14:paraId="0999E7FD" w14:textId="77777777" w:rsidR="00261373" w:rsidRDefault="00624D76" w:rsidP="0050446C">
      <w:r>
        <w:t xml:space="preserve">Het gevolg van de Procedurestappen </w:t>
      </w:r>
      <w:r w:rsidRPr="00EF7D4D">
        <w:t>op de geldigheid van regeling</w:t>
      </w:r>
      <w:r>
        <w:t xml:space="preserve"> leidt de LVBB af uit de aangeleverde informatie en wordt automatisch bij de bekendmaking, in de regelingenbanken en in DSO-LV getoond.</w:t>
      </w:r>
    </w:p>
    <w:p w14:paraId="706593BC" w14:textId="77777777" w:rsidR="00261373" w:rsidRDefault="00624D76" w:rsidP="0050446C">
      <w:pPr>
        <w:pStyle w:val="Kader"/>
      </w:pPr>
      <w:r w:rsidRPr="00B26823">
        <w:rPr>
          <w:noProof/>
        </w:rPr>
        <mc:AlternateContent>
          <mc:Choice Requires="wps">
            <w:drawing>
              <wp:inline distT="0" distB="0" distL="0" distR="0" wp14:anchorId="75876316" wp14:editId="65F13435">
                <wp:extent cx="5760720" cy="2051329"/>
                <wp:effectExtent l="0" t="0" r="24130" b="22860"/>
                <wp:docPr id="18" name="Tekstvak 18"/>
                <wp:cNvGraphicFramePr/>
                <a:graphic xmlns:a="http://schemas.openxmlformats.org/drawingml/2006/main">
                  <a:graphicData uri="http://schemas.microsoft.com/office/word/2010/wordprocessingShape">
                    <wps:wsp>
                      <wps:cNvSpPr txBox="1"/>
                      <wps:spPr>
                        <a:xfrm>
                          <a:off x="0" y="0"/>
                          <a:ext cx="5760720" cy="2051329"/>
                        </a:xfrm>
                        <a:prstGeom prst="rect">
                          <a:avLst/>
                        </a:prstGeom>
                        <a:noFill/>
                        <a:ln w="6350">
                          <a:solidFill>
                            <a:prstClr val="black"/>
                          </a:solidFill>
                        </a:ln>
                      </wps:spPr>
                      <wps:txbx>
                        <w:txbxContent>
                          <w:p w14:paraId="709A5FA0" w14:textId="77777777" w:rsidR="00261373" w:rsidRPr="00D80A79" w:rsidRDefault="00624D76" w:rsidP="00E43714">
                            <w:pPr>
                              <w:rPr>
                                <w:b/>
                                <w:bCs/>
                              </w:rPr>
                            </w:pPr>
                            <w:r w:rsidRPr="00D80A79">
                              <w:rPr>
                                <w:b/>
                                <w:bCs/>
                              </w:rPr>
                              <w:t>Toekomstige functionaliteit</w:t>
                            </w:r>
                          </w:p>
                          <w:p w14:paraId="6D537D53" w14:textId="77777777" w:rsidR="00261373" w:rsidRPr="00B3240A" w:rsidRDefault="00624D76" w:rsidP="00E43714">
                            <w:r w:rsidRPr="00B3240A">
                              <w:t>Het tonen van een toestand van een regeling vóór de inwerkingtredingsdatum is nog niet geïmplementeerd in de DSO-keten.</w:t>
                            </w:r>
                          </w:p>
                          <w:p w14:paraId="36FBD143" w14:textId="77777777" w:rsidR="00261373" w:rsidRPr="00B3240A" w:rsidRDefault="00624D76"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261373" w:rsidRDefault="00624D76"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261373" w:rsidRDefault="00261373" w:rsidP="00E43714"/>
                          <w:p w14:paraId="1EFD2686" w14:textId="77777777" w:rsidR="00261373" w:rsidRPr="00541BF1" w:rsidRDefault="00624D76" w:rsidP="00E43714">
                            <w:pPr>
                              <w:rPr>
                                <w:b/>
                                <w:bCs/>
                              </w:rPr>
                            </w:pPr>
                            <w:r w:rsidRPr="00541BF1">
                              <w:rPr>
                                <w:b/>
                                <w:bCs/>
                              </w:rPr>
                              <w:t>Workaround</w:t>
                            </w:r>
                          </w:p>
                          <w:p w14:paraId="70BB9315" w14:textId="77777777" w:rsidR="00261373" w:rsidRPr="0022671B" w:rsidRDefault="00624D76"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876316" id="Tekstvak 18" o:spid="_x0000_s1051" type="#_x0000_t202" style="width:453.6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" filled="f" strokeweight=".5pt">
                <v:textbox style="mso-fit-shape-to-text:t">
                  <w:txbxContent>
                    <w:p w14:paraId="709A5FA0" w14:textId="77777777" w:rsidR="00261373" w:rsidRPr="00D80A79" w:rsidRDefault="00624D76" w:rsidP="00E43714">
                      <w:pPr>
                        <w:rPr>
                          <w:b/>
                          <w:bCs/>
                        </w:rPr>
                      </w:pPr>
                      <w:r w:rsidRPr="00D80A79">
                        <w:rPr>
                          <w:b/>
                          <w:bCs/>
                        </w:rPr>
                        <w:t>Toekomstige functionaliteit</w:t>
                      </w:r>
                    </w:p>
                    <w:p w14:paraId="6D537D53" w14:textId="77777777" w:rsidR="00261373" w:rsidRPr="00B3240A" w:rsidRDefault="00624D76" w:rsidP="00E43714">
                      <w:r w:rsidRPr="00B3240A">
                        <w:t>Het tonen van een toestand van een regeling vóór de inwerkingtredingsdatum is nog niet geïmplementeerd in de DSO-keten.</w:t>
                      </w:r>
                    </w:p>
                    <w:p w14:paraId="36FBD143" w14:textId="77777777" w:rsidR="00261373" w:rsidRPr="00B3240A" w:rsidRDefault="00624D76"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261373" w:rsidRDefault="00624D76"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261373" w:rsidRDefault="00261373" w:rsidP="00E43714"/>
                    <w:p w14:paraId="1EFD2686" w14:textId="77777777" w:rsidR="00261373" w:rsidRPr="00541BF1" w:rsidRDefault="00624D76" w:rsidP="00E43714">
                      <w:pPr>
                        <w:rPr>
                          <w:b/>
                          <w:bCs/>
                        </w:rPr>
                      </w:pPr>
                      <w:r w:rsidRPr="00541BF1">
                        <w:rPr>
                          <w:b/>
                          <w:bCs/>
                        </w:rPr>
                        <w:t>Workaround</w:t>
                      </w:r>
                    </w:p>
                    <w:p w14:paraId="70BB9315" w14:textId="77777777" w:rsidR="00261373" w:rsidRPr="0022671B" w:rsidRDefault="00624D76" w:rsidP="00E43714">
                      <w:r>
                        <w:t>Geen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