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BDB1" w14:textId="77777777" w:rsidR="00261373" w:rsidRDefault="00624D76" w:rsidP="00EC1A29">
      <w:pPr>
        <w:pStyle w:val="Kop5"/>
      </w:pPr>
      <w:r>
        <w:lastRenderedPageBreak/>
        <w:t>Verkenning</w:t>
      </w:r>
    </w:p>
    <w:p w14:paraId="4F4BE9AB" w14:textId="77777777" w:rsidR="00261373" w:rsidRPr="005962F6" w:rsidRDefault="00624D76" w:rsidP="00EC1A29">
      <w:r w:rsidRPr="005962F6">
        <w:t xml:space="preserve">In de verkenning onderzoekt het bevoegd gezag de mogelijke oplossingen voor een opgave. Door de verkenning </w:t>
      </w:r>
      <w:r>
        <w:t xml:space="preserve">krijgt </w:t>
      </w:r>
      <w:r w:rsidRPr="005962F6">
        <w:t xml:space="preserve">het bevoegd gezag </w:t>
      </w:r>
      <w:r>
        <w:t xml:space="preserve">kennis van en </w:t>
      </w:r>
      <w:r w:rsidRPr="005962F6">
        <w:t>inzicht in</w:t>
      </w:r>
      <w:r>
        <w:rPr>
          <w:rStyle w:val="Voetnootmarkering"/>
        </w:rPr>
        <w:footnoteReference w:id="108"/>
      </w:r>
      <w:r w:rsidRPr="005962F6">
        <w:t>:</w:t>
      </w:r>
    </w:p>
    <w:p w14:paraId="2E503211" w14:textId="77777777" w:rsidR="00261373" w:rsidRPr="005962F6" w:rsidRDefault="00624D76" w:rsidP="00EC1A29">
      <w:pPr>
        <w:pStyle w:val="Opsommingtekens1"/>
      </w:pPr>
      <w:r w:rsidRPr="005962F6">
        <w:t>de aard van de opgave</w:t>
      </w:r>
    </w:p>
    <w:p w14:paraId="559D940F" w14:textId="77777777" w:rsidR="00261373" w:rsidRPr="005962F6" w:rsidRDefault="00624D76" w:rsidP="00EC1A29">
      <w:pPr>
        <w:pStyle w:val="Opsommingtekens1"/>
      </w:pPr>
      <w:r w:rsidRPr="005962F6">
        <w:t xml:space="preserve">de ontwikkelingen </w:t>
      </w:r>
      <w:r>
        <w:t xml:space="preserve">die </w:t>
      </w:r>
      <w:r w:rsidRPr="005962F6">
        <w:t>voor de fysieke leefomgeving</w:t>
      </w:r>
      <w:r>
        <w:t xml:space="preserve"> </w:t>
      </w:r>
      <w:r w:rsidRPr="000B4590">
        <w:t>relevant</w:t>
      </w:r>
      <w:r>
        <w:t xml:space="preserve"> zijn</w:t>
      </w:r>
    </w:p>
    <w:p w14:paraId="1945F425" w14:textId="77777777" w:rsidR="00261373" w:rsidRPr="005962F6" w:rsidRDefault="00624D76" w:rsidP="00EC1A29">
      <w:pPr>
        <w:pStyle w:val="Opsommingtekens1"/>
      </w:pPr>
      <w:r w:rsidRPr="005962F6">
        <w:t>de mogelijke oplossingen voor die opgave.</w:t>
      </w:r>
    </w:p>
    <w:p w14:paraId="2BB3EA1D" w14:textId="77777777" w:rsidR="00261373" w:rsidRPr="00B1204A" w:rsidRDefault="00624D76" w:rsidP="00EC1A29">
      <w:pPr>
        <w:pStyle w:val="Opsommingtekens2"/>
        <w:numPr>
          <w:ilvl w:val="0"/>
          <w:numId w:val="0"/>
        </w:numPr>
        <w:ind w:left="284"/>
      </w:pPr>
      <w:r w:rsidRPr="005962F6">
        <w:t xml:space="preserve">Hieronder vallen ook de oplossingen die anderen hebben voorgedragen en waarvan het bevoegd gezag na beoordeling ervan </w:t>
      </w:r>
      <w:r>
        <w:t xml:space="preserve">heeft </w:t>
      </w:r>
      <w:r w:rsidRPr="005962F6">
        <w:t>besli</w:t>
      </w:r>
      <w:r>
        <w:t>s</w:t>
      </w:r>
      <w:r w:rsidRPr="00B1204A">
        <w:t>t deze mee te nemen in de verkenning</w:t>
      </w:r>
      <w:r>
        <w:rPr>
          <w:rStyle w:val="Voetnootmarkering"/>
        </w:rPr>
        <w:footnoteReference w:id="109"/>
      </w:r>
      <w:r w:rsidRPr="00B1204A">
        <w:t>.</w:t>
      </w:r>
    </w:p>
    <w:p w14:paraId="302916A1" w14:textId="6AC17285" w:rsidR="00261373" w:rsidRDefault="00624D76" w:rsidP="00EC1A29">
      <w:r w:rsidRPr="00B1204A">
        <w:t xml:space="preserve">Het bevoegd gezag bepaalt zelf de invulling van de verkenning. </w:t>
      </w:r>
      <w:r>
        <w:t xml:space="preserve">Hierbij kan het bevoegd gezag ook -op verzoek van degenen die mogelijke oplossingen hebben voorgedragen of ambtshalve- advies vragen </w:t>
      </w:r>
      <w:r w:rsidRPr="000D7642">
        <w:t>aan een onafhankelijke deskundige</w:t>
      </w:r>
      <w:r>
        <w:rPr>
          <w:rStyle w:val="Voetnootmarkering"/>
        </w:rPr>
        <w:footnoteReference w:id="110"/>
      </w:r>
      <w:r w:rsidRPr="000D7642">
        <w:t>.</w:t>
      </w:r>
      <w:r>
        <w:t xml:space="preserve"> </w:t>
      </w:r>
      <w:r w:rsidRPr="00B1204A">
        <w:t xml:space="preserve">De verkenning moet uiteindelijk voldoende informatie bieden om een projectbesluit te kunnen opstellen en -indien van toepassing- daaraan voorafgaand een voorkeursbeslissing te kunnen nemen. Het </w:t>
      </w:r>
      <w:r>
        <w:t xml:space="preserve">opstellen van een </w:t>
      </w:r>
      <w:r w:rsidRPr="00B1204A">
        <w:t>milieueffectrapport kan onderdeel zijn van de verkenning.</w:t>
      </w:r>
    </w:p>
    <w:p w14:paraId="3355EBE4" w14:textId="77777777" w:rsidR="00261373" w:rsidRDefault="00261373" w:rsidP="00EC1A29"/>
    <w:p w14:paraId="024755A9" w14:textId="77777777" w:rsidR="00261373" w:rsidRDefault="00624D76" w:rsidP="00EC1A29">
      <w:r>
        <w:t>De verkenning levert niet een besluit of ander document op dat officieel bekend gemaakt moet worden. De STOP/TPOD-standaard is op de verkenning niet van toepassing. In de verkenningsfase worden ook geen kennisgevingen gedaan. I</w:t>
      </w:r>
      <w:r w:rsidRPr="00B76C0C">
        <w:t xml:space="preserve">n </w:t>
      </w:r>
      <w:r>
        <w:t xml:space="preserve">het </w:t>
      </w:r>
      <w:r w:rsidRPr="00B76C0C">
        <w:t xml:space="preserve">waterschapsblad, provinciaal blad of Staatscourant </w:t>
      </w:r>
      <w:r>
        <w:t xml:space="preserve">en </w:t>
      </w:r>
      <w:r w:rsidRPr="00B76C0C">
        <w:t xml:space="preserve">in DSO-LV </w:t>
      </w:r>
      <w:r>
        <w:t>komt geen informatie over de verkenning</w:t>
      </w:r>
      <w:r w:rsidRPr="00B76C0C">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